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38" w:rsidRDefault="00660BF6" w:rsidP="00F35138">
      <w:pPr>
        <w:pStyle w:val="Heading1"/>
        <w:jc w:val="right"/>
        <w:rPr>
          <w:rFonts w:ascii="Century Gothic" w:hAnsi="Century Gothic" w:cs="Arial"/>
          <w:color w:val="000000" w:themeColor="text1"/>
        </w:rPr>
      </w:pPr>
      <w:bookmarkStart w:id="0" w:name="_Toc451770531"/>
      <w:r>
        <w:rPr>
          <w:rFonts w:ascii="Arial" w:hAnsi="Arial" w:cs="Arial"/>
          <w:noProof/>
          <w:color w:val="000000" w:themeColor="text1"/>
          <w:lang w:eastAsia="en-NZ"/>
        </w:rPr>
        <w:pict>
          <v:shapetype id="_x0000_t202" coordsize="21600,21600" o:spt="202" path="m,l,21600r21600,l21600,xe">
            <v:stroke joinstyle="miter"/>
            <v:path gradientshapeok="t" o:connecttype="rect"/>
          </v:shapetype>
          <v:shape id="_x0000_s1027" type="#_x0000_t202" style="position:absolute;left:0;text-align:left;margin-left:-74.55pt;margin-top:-66pt;width:236.25pt;height:34.55pt;z-index:251661312;mso-width-relative:margin;mso-height-relative:margin" strokecolor="white [3212]">
            <v:textbox>
              <w:txbxContent>
                <w:p w:rsidR="00660BF6" w:rsidRPr="00660BF6" w:rsidRDefault="00660BF6" w:rsidP="00660BF6">
                  <w:pPr>
                    <w:rPr>
                      <w:rFonts w:ascii="Tahoma" w:hAnsi="Tahoma" w:cs="Tahoma"/>
                      <w:sz w:val="24"/>
                      <w:szCs w:val="24"/>
                    </w:rPr>
                  </w:pPr>
                  <w:r w:rsidRPr="00660BF6">
                    <w:rPr>
                      <w:rFonts w:ascii="Tahoma" w:hAnsi="Tahoma" w:cs="Tahoma"/>
                      <w:b/>
                      <w:sz w:val="24"/>
                      <w:szCs w:val="24"/>
                    </w:rPr>
                    <w:t xml:space="preserve">   FOR ADVISORY GROUP USE ONLY                                                                              </w:t>
                  </w:r>
                </w:p>
                <w:p w:rsidR="00660BF6" w:rsidRDefault="00660BF6" w:rsidP="00660BF6"/>
              </w:txbxContent>
            </v:textbox>
          </v:shape>
        </w:pict>
      </w:r>
      <w:r w:rsidR="00F35138">
        <w:rPr>
          <w:noProof/>
          <w:lang w:eastAsia="en-NZ"/>
        </w:rPr>
        <w:drawing>
          <wp:anchor distT="0" distB="0" distL="114300" distR="114300" simplePos="0" relativeHeight="251659264" behindDoc="1" locked="0" layoutInCell="1" allowOverlap="1">
            <wp:simplePos x="0" y="0"/>
            <wp:positionH relativeFrom="page">
              <wp:posOffset>5477774</wp:posOffset>
            </wp:positionH>
            <wp:positionV relativeFrom="page">
              <wp:posOffset>-112143</wp:posOffset>
            </wp:positionV>
            <wp:extent cx="2188569" cy="1647645"/>
            <wp:effectExtent l="0" t="0" r="254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288" b="82629"/>
                    <a:stretch>
                      <a:fillRect/>
                    </a:stretch>
                  </pic:blipFill>
                  <pic:spPr bwMode="auto">
                    <a:xfrm>
                      <a:off x="0" y="0"/>
                      <a:ext cx="2188210" cy="1643380"/>
                    </a:xfrm>
                    <a:prstGeom prst="rect">
                      <a:avLst/>
                    </a:prstGeom>
                    <a:noFill/>
                  </pic:spPr>
                </pic:pic>
              </a:graphicData>
            </a:graphic>
          </wp:anchor>
        </w:drawing>
      </w:r>
      <w:r w:rsidR="00F35138">
        <w:rPr>
          <w:noProof/>
          <w:lang w:eastAsia="en-NZ"/>
        </w:rPr>
        <w:drawing>
          <wp:anchor distT="0" distB="0" distL="114300" distR="114300" simplePos="0" relativeHeight="251660288" behindDoc="0" locked="0" layoutInCell="1" allowOverlap="1">
            <wp:simplePos x="0" y="0"/>
            <wp:positionH relativeFrom="column">
              <wp:posOffset>-269935</wp:posOffset>
            </wp:positionH>
            <wp:positionV relativeFrom="paragraph">
              <wp:posOffset>-560717</wp:posOffset>
            </wp:positionV>
            <wp:extent cx="2655139" cy="672860"/>
            <wp:effectExtent l="19050" t="0" r="0" b="0"/>
            <wp:wrapSquare wrapText="bothSides"/>
            <wp:docPr id="4"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11" cstate="print"/>
                    <a:srcRect/>
                    <a:stretch>
                      <a:fillRect/>
                    </a:stretch>
                  </pic:blipFill>
                  <pic:spPr bwMode="auto">
                    <a:xfrm>
                      <a:off x="0" y="0"/>
                      <a:ext cx="2655570" cy="672465"/>
                    </a:xfrm>
                    <a:prstGeom prst="rect">
                      <a:avLst/>
                    </a:prstGeom>
                    <a:noFill/>
                    <a:ln w="9525">
                      <a:noFill/>
                      <a:miter lim="800000"/>
                      <a:headEnd/>
                      <a:tailEnd/>
                    </a:ln>
                  </pic:spPr>
                </pic:pic>
              </a:graphicData>
            </a:graphic>
          </wp:anchor>
        </w:drawing>
      </w:r>
    </w:p>
    <w:p w:rsidR="00F35138" w:rsidRDefault="00F35138" w:rsidP="00F35138">
      <w:pPr>
        <w:pStyle w:val="Heading1"/>
        <w:jc w:val="right"/>
        <w:rPr>
          <w:rFonts w:ascii="Century Gothic" w:hAnsi="Century Gothic" w:cs="Arial"/>
          <w:color w:val="000000" w:themeColor="text1"/>
        </w:rPr>
      </w:pPr>
    </w:p>
    <w:p w:rsidR="00F35138" w:rsidRDefault="00F35138" w:rsidP="00F35138">
      <w:pPr>
        <w:pStyle w:val="Heading1"/>
        <w:jc w:val="right"/>
        <w:rPr>
          <w:rFonts w:ascii="Arial" w:hAnsi="Arial" w:cs="Arial"/>
          <w:color w:val="000000" w:themeColor="text1"/>
        </w:rPr>
      </w:pPr>
    </w:p>
    <w:p w:rsidR="00F35138" w:rsidRDefault="00660BF6" w:rsidP="00F35138">
      <w:pPr>
        <w:pStyle w:val="Heading1"/>
        <w:jc w:val="right"/>
        <w:rPr>
          <w:rFonts w:ascii="Arial" w:hAnsi="Arial" w:cs="Arial"/>
          <w:color w:val="000000" w:themeColor="text1"/>
        </w:rPr>
      </w:pPr>
      <w:r w:rsidRPr="00660BF6">
        <w:rPr>
          <w:rFonts w:ascii="Arial" w:hAnsi="Arial" w:cs="Arial"/>
          <w:noProof/>
          <w:color w:val="000000"/>
          <w:lang w:eastAsia="en-NZ"/>
        </w:rPr>
        <w:pict>
          <v:shape id="_x0000_s1029" type="#_x0000_t202" style="position:absolute;left:0;text-align:left;margin-left:-7.5pt;margin-top:48.05pt;width:265.5pt;height:22.55pt;z-index:251662336;mso-width-relative:margin;mso-height-relative:margin" strokecolor="white">
            <v:textbox>
              <w:txbxContent>
                <w:p w:rsidR="00660BF6" w:rsidRPr="00660BF6" w:rsidRDefault="00660BF6" w:rsidP="00660BF6">
                  <w:pPr>
                    <w:rPr>
                      <w:rFonts w:ascii="Tahoma" w:hAnsi="Tahoma" w:cs="Tahoma"/>
                      <w:sz w:val="24"/>
                      <w:szCs w:val="24"/>
                    </w:rPr>
                  </w:pPr>
                  <w:r>
                    <w:rPr>
                      <w:b/>
                    </w:rPr>
                    <w:t xml:space="preserve">  </w:t>
                  </w:r>
                  <w:r w:rsidRPr="00660BF6">
                    <w:rPr>
                      <w:rFonts w:ascii="Tahoma" w:hAnsi="Tahoma" w:cs="Tahoma"/>
                      <w:b/>
                      <w:sz w:val="24"/>
                      <w:szCs w:val="24"/>
                    </w:rPr>
                    <w:t>DRAFT – NOT GOVERNMENT POLICY</w:t>
                  </w:r>
                </w:p>
                <w:p w:rsidR="00660BF6" w:rsidRDefault="00660BF6" w:rsidP="00660BF6"/>
              </w:txbxContent>
            </v:textbox>
          </v:shape>
        </w:pict>
      </w:r>
    </w:p>
    <w:p w:rsidR="00F35138" w:rsidRDefault="00F35138" w:rsidP="00F35138">
      <w:pPr>
        <w:pStyle w:val="Heading1"/>
        <w:jc w:val="right"/>
        <w:rPr>
          <w:rFonts w:ascii="Arial" w:hAnsi="Arial" w:cs="Arial"/>
          <w:color w:val="000000" w:themeColor="text1"/>
        </w:rPr>
      </w:pPr>
    </w:p>
    <w:p w:rsidR="00660BF6" w:rsidRPr="00660BF6" w:rsidRDefault="00660BF6" w:rsidP="00660BF6"/>
    <w:p w:rsidR="00F35138" w:rsidRPr="003F70F8" w:rsidRDefault="00F35138" w:rsidP="00F35138">
      <w:pPr>
        <w:pStyle w:val="Heading1"/>
        <w:jc w:val="right"/>
        <w:rPr>
          <w:rFonts w:ascii="Arial" w:hAnsi="Arial" w:cs="Arial"/>
          <w:b/>
          <w:color w:val="000000" w:themeColor="text1"/>
          <w:sz w:val="28"/>
          <w:szCs w:val="28"/>
        </w:rPr>
      </w:pPr>
      <w:r w:rsidRPr="003F70F8">
        <w:rPr>
          <w:rFonts w:ascii="Arial" w:hAnsi="Arial" w:cs="Arial"/>
          <w:b/>
          <w:color w:val="000000" w:themeColor="text1"/>
          <w:sz w:val="28"/>
          <w:szCs w:val="28"/>
        </w:rPr>
        <w:t xml:space="preserve">Review of Funding Systems </w:t>
      </w:r>
    </w:p>
    <w:p w:rsidR="00F35138" w:rsidRPr="003F70F8" w:rsidRDefault="00F35138" w:rsidP="00F35138">
      <w:pPr>
        <w:pStyle w:val="Heading1"/>
        <w:jc w:val="right"/>
        <w:rPr>
          <w:rFonts w:ascii="Arial" w:hAnsi="Arial" w:cs="Arial"/>
          <w:b/>
          <w:color w:val="000000" w:themeColor="text1"/>
          <w:sz w:val="28"/>
          <w:szCs w:val="28"/>
        </w:rPr>
      </w:pPr>
      <w:r w:rsidRPr="003F70F8">
        <w:rPr>
          <w:rFonts w:ascii="Arial" w:hAnsi="Arial" w:cs="Arial"/>
          <w:b/>
          <w:color w:val="000000" w:themeColor="text1"/>
          <w:sz w:val="28"/>
          <w:szCs w:val="28"/>
        </w:rPr>
        <w:t xml:space="preserve">Background paper </w:t>
      </w:r>
      <w:r w:rsidR="003F70F8">
        <w:rPr>
          <w:rFonts w:ascii="Arial" w:hAnsi="Arial" w:cs="Arial"/>
          <w:b/>
          <w:color w:val="000000" w:themeColor="text1"/>
          <w:sz w:val="28"/>
          <w:szCs w:val="28"/>
        </w:rPr>
        <w:t>for Advisory Group</w:t>
      </w:r>
    </w:p>
    <w:p w:rsidR="00F35138" w:rsidRPr="003F70F8" w:rsidRDefault="00F35138" w:rsidP="00F35138">
      <w:pPr>
        <w:rPr>
          <w:rFonts w:cs="Arial"/>
          <w:b/>
        </w:rPr>
      </w:pPr>
    </w:p>
    <w:p w:rsidR="00F35138" w:rsidRPr="003F70F8" w:rsidRDefault="00F35138" w:rsidP="00F35138">
      <w:pPr>
        <w:rPr>
          <w:rFonts w:cs="Arial"/>
          <w:b/>
        </w:rPr>
      </w:pPr>
    </w:p>
    <w:p w:rsidR="00F35138" w:rsidRPr="003F70F8" w:rsidRDefault="00F35138" w:rsidP="00F35138">
      <w:pPr>
        <w:rPr>
          <w:rFonts w:cs="Arial"/>
          <w:b/>
        </w:rPr>
      </w:pPr>
    </w:p>
    <w:p w:rsidR="00F35138" w:rsidRPr="003F70F8" w:rsidRDefault="00F35138" w:rsidP="00F35138">
      <w:pPr>
        <w:rPr>
          <w:rFonts w:cs="Arial"/>
          <w:b/>
        </w:rPr>
      </w:pPr>
    </w:p>
    <w:p w:rsidR="00F35138" w:rsidRPr="003F70F8" w:rsidRDefault="00F35138" w:rsidP="00F35138">
      <w:pPr>
        <w:jc w:val="right"/>
        <w:rPr>
          <w:rFonts w:cs="Arial"/>
          <w:b/>
          <w:sz w:val="40"/>
          <w:szCs w:val="40"/>
        </w:rPr>
      </w:pPr>
      <w:r w:rsidRPr="003F70F8">
        <w:rPr>
          <w:rFonts w:cs="Arial"/>
          <w:b/>
          <w:sz w:val="40"/>
          <w:szCs w:val="40"/>
        </w:rPr>
        <w:t xml:space="preserve">Funding to support children and young people most at risk of educational under-achievement </w:t>
      </w:r>
    </w:p>
    <w:p w:rsidR="00F35138" w:rsidRPr="00081FCD" w:rsidRDefault="00F35138" w:rsidP="00F35138">
      <w:pPr>
        <w:rPr>
          <w:rFonts w:cs="Arial"/>
          <w:color w:val="000000" w:themeColor="text1"/>
          <w:sz w:val="40"/>
          <w:szCs w:val="40"/>
        </w:rPr>
      </w:pPr>
    </w:p>
    <w:p w:rsidR="00F35138" w:rsidRPr="00081FCD" w:rsidRDefault="00F35138" w:rsidP="00F35138">
      <w:pPr>
        <w:rPr>
          <w:rFonts w:cs="Arial"/>
          <w:color w:val="000000" w:themeColor="text1"/>
        </w:rPr>
      </w:pPr>
    </w:p>
    <w:p w:rsidR="00F35138" w:rsidRPr="00081FCD" w:rsidRDefault="00F35138" w:rsidP="00F35138">
      <w:pPr>
        <w:pStyle w:val="BodyText"/>
        <w:jc w:val="right"/>
        <w:rPr>
          <w:rFonts w:cs="Arial"/>
          <w:b/>
          <w:color w:val="0070C0"/>
          <w:sz w:val="40"/>
          <w:szCs w:val="40"/>
        </w:rPr>
      </w:pPr>
    </w:p>
    <w:p w:rsidR="00F35138" w:rsidRPr="00081FCD" w:rsidRDefault="00F35138" w:rsidP="00F35138">
      <w:pPr>
        <w:pStyle w:val="BodyText"/>
        <w:jc w:val="right"/>
        <w:rPr>
          <w:rFonts w:cs="Arial"/>
          <w:b/>
          <w:color w:val="0070C0"/>
          <w:sz w:val="40"/>
          <w:szCs w:val="40"/>
        </w:rPr>
      </w:pPr>
    </w:p>
    <w:p w:rsidR="00F35138" w:rsidRPr="00081FCD" w:rsidRDefault="00F35138" w:rsidP="00F35138">
      <w:pPr>
        <w:pStyle w:val="BodyText"/>
        <w:jc w:val="right"/>
        <w:rPr>
          <w:rFonts w:cs="Arial"/>
          <w:b/>
          <w:color w:val="0070C0"/>
          <w:sz w:val="40"/>
          <w:szCs w:val="40"/>
        </w:rPr>
      </w:pPr>
    </w:p>
    <w:p w:rsidR="00F35138" w:rsidRPr="00081FCD" w:rsidRDefault="00F35138" w:rsidP="00F35138">
      <w:pPr>
        <w:pStyle w:val="BodyText"/>
        <w:jc w:val="right"/>
        <w:rPr>
          <w:rFonts w:cs="Arial"/>
          <w:b/>
          <w:color w:val="0070C0"/>
          <w:sz w:val="40"/>
          <w:szCs w:val="40"/>
        </w:rPr>
      </w:pPr>
    </w:p>
    <w:p w:rsidR="00F35138" w:rsidRPr="00081FCD" w:rsidRDefault="00F35138" w:rsidP="00F35138">
      <w:pPr>
        <w:pStyle w:val="BodyText"/>
        <w:jc w:val="right"/>
        <w:rPr>
          <w:rFonts w:cs="Arial"/>
          <w:b/>
          <w:color w:val="0070C0"/>
          <w:sz w:val="40"/>
          <w:szCs w:val="40"/>
        </w:rPr>
      </w:pPr>
    </w:p>
    <w:p w:rsidR="00F35138" w:rsidRPr="00081FCD" w:rsidRDefault="00F35138" w:rsidP="00F35138">
      <w:pPr>
        <w:pStyle w:val="BodyText"/>
        <w:jc w:val="right"/>
        <w:rPr>
          <w:rFonts w:cs="Arial"/>
        </w:rPr>
      </w:pPr>
    </w:p>
    <w:p w:rsidR="00F35138" w:rsidRPr="00F35138" w:rsidRDefault="00F35138" w:rsidP="00F35138">
      <w:pPr>
        <w:pStyle w:val="BodyText"/>
        <w:jc w:val="right"/>
        <w:rPr>
          <w:rFonts w:cs="Arial"/>
        </w:rPr>
      </w:pPr>
      <w:r w:rsidRPr="00081FCD">
        <w:rPr>
          <w:rFonts w:cs="Arial"/>
        </w:rPr>
        <w:t>10 June 2016</w:t>
      </w:r>
    </w:p>
    <w:p w:rsidR="004A2B55" w:rsidRPr="003F70F8" w:rsidRDefault="00F35138" w:rsidP="003F70F8">
      <w:pPr>
        <w:pStyle w:val="BodyText"/>
        <w:spacing w:before="0" w:after="0" w:line="240" w:lineRule="auto"/>
        <w:rPr>
          <w:b/>
          <w:color w:val="0070C0"/>
          <w:sz w:val="40"/>
          <w:szCs w:val="40"/>
        </w:rPr>
      </w:pPr>
      <w:r w:rsidRPr="00F35138">
        <w:rPr>
          <w:rFonts w:cs="Arial"/>
          <w:sz w:val="22"/>
          <w:szCs w:val="22"/>
        </w:rPr>
        <w:br w:type="column"/>
      </w:r>
      <w:bookmarkStart w:id="1" w:name="_GoBack"/>
      <w:bookmarkEnd w:id="1"/>
      <w:r w:rsidRPr="00F35138">
        <w:rPr>
          <w:sz w:val="22"/>
          <w:szCs w:val="22"/>
        </w:rPr>
        <w:lastRenderedPageBreak/>
        <w:br w:type="column"/>
      </w:r>
      <w:r w:rsidR="004A2B55" w:rsidRPr="003F70F8">
        <w:rPr>
          <w:b/>
          <w:color w:val="0070C0"/>
          <w:sz w:val="40"/>
          <w:szCs w:val="40"/>
        </w:rPr>
        <w:lastRenderedPageBreak/>
        <w:t>Funding to support children and young people most at risk of educational under-achievement</w:t>
      </w:r>
    </w:p>
    <w:p w:rsidR="004A2B55" w:rsidRDefault="004A2B55" w:rsidP="008A2385">
      <w:pPr>
        <w:jc w:val="both"/>
      </w:pPr>
    </w:p>
    <w:p w:rsidR="00F65E23" w:rsidRDefault="00F9142F" w:rsidP="006735D7">
      <w:pPr>
        <w:pStyle w:val="MoEHeading1"/>
      </w:pPr>
      <w:r w:rsidRPr="00F9142F">
        <w:t>Introduction</w:t>
      </w:r>
      <w:bookmarkEnd w:id="0"/>
    </w:p>
    <w:p w:rsidR="004A2B55" w:rsidRDefault="004A2B55" w:rsidP="008A2385">
      <w:pPr>
        <w:jc w:val="both"/>
        <w:rPr>
          <w:rFonts w:cs="Arial"/>
        </w:rPr>
      </w:pPr>
      <w:bookmarkStart w:id="2" w:name="_Ref449625459"/>
    </w:p>
    <w:p w:rsidR="004B428C" w:rsidRDefault="004B428C" w:rsidP="008A2385">
      <w:pPr>
        <w:jc w:val="both"/>
        <w:rPr>
          <w:rFonts w:cs="Arial"/>
        </w:rPr>
      </w:pPr>
      <w:r w:rsidRPr="004A2B55">
        <w:rPr>
          <w:rFonts w:cs="Arial"/>
        </w:rPr>
        <w:t xml:space="preserve">The Review of Education Funding Systems for </w:t>
      </w:r>
      <w:r w:rsidR="00C17B8F">
        <w:t>early childhood education (</w:t>
      </w:r>
      <w:r w:rsidRPr="004A2B55">
        <w:rPr>
          <w:rFonts w:cs="Arial"/>
        </w:rPr>
        <w:t>ECE</w:t>
      </w:r>
      <w:r w:rsidR="00C17B8F" w:rsidRPr="004A2B55">
        <w:rPr>
          <w:rFonts w:cs="Arial"/>
        </w:rPr>
        <w:t>)</w:t>
      </w:r>
      <w:r w:rsidRPr="004A2B55">
        <w:rPr>
          <w:rFonts w:cs="Arial"/>
        </w:rPr>
        <w:t xml:space="preserve"> </w:t>
      </w:r>
      <w:r w:rsidR="00C17B8F" w:rsidRPr="004A2B55">
        <w:rPr>
          <w:rFonts w:cs="Arial"/>
        </w:rPr>
        <w:t>services and s</w:t>
      </w:r>
      <w:r w:rsidRPr="004A2B55">
        <w:rPr>
          <w:rFonts w:cs="Arial"/>
        </w:rPr>
        <w:t xml:space="preserve">chooling is seeking, as part of </w:t>
      </w:r>
      <w:r w:rsidR="005674FE">
        <w:rPr>
          <w:rFonts w:cs="Arial"/>
        </w:rPr>
        <w:t>the</w:t>
      </w:r>
      <w:r w:rsidR="005674FE" w:rsidRPr="004A2B55">
        <w:rPr>
          <w:rFonts w:cs="Arial"/>
        </w:rPr>
        <w:t xml:space="preserve"> </w:t>
      </w:r>
      <w:r w:rsidRPr="004A2B55">
        <w:rPr>
          <w:rFonts w:cs="Arial"/>
        </w:rPr>
        <w:t xml:space="preserve">broader Education Work Programme, to </w:t>
      </w:r>
      <w:r w:rsidR="00DE2FD2">
        <w:rPr>
          <w:rFonts w:cs="Arial"/>
        </w:rPr>
        <w:t xml:space="preserve">ensure </w:t>
      </w:r>
      <w:r w:rsidR="00DE2FD2" w:rsidRPr="00141D2A">
        <w:t xml:space="preserve">funding </w:t>
      </w:r>
      <w:r w:rsidR="00DE2FD2">
        <w:t xml:space="preserve">is directed </w:t>
      </w:r>
      <w:r w:rsidR="00DE2FD2" w:rsidRPr="00141D2A">
        <w:t>to the size of the education challenge ECE services, schools and Communities of Learning face</w:t>
      </w:r>
      <w:r w:rsidR="00DE2FD2">
        <w:t>,</w:t>
      </w:r>
      <w:r w:rsidR="00DE2FD2" w:rsidRPr="00141D2A">
        <w:t xml:space="preserve"> and towards growing the learning and achievement of all children and young people</w:t>
      </w:r>
    </w:p>
    <w:p w:rsidR="008A2385" w:rsidRPr="004A2B55" w:rsidRDefault="008A2385" w:rsidP="008A2385">
      <w:pPr>
        <w:jc w:val="both"/>
        <w:rPr>
          <w:rFonts w:cs="Arial"/>
        </w:rPr>
      </w:pPr>
    </w:p>
    <w:p w:rsidR="004B428C" w:rsidRDefault="004B428C" w:rsidP="008A2385">
      <w:pPr>
        <w:jc w:val="both"/>
        <w:rPr>
          <w:rFonts w:cs="Arial"/>
        </w:rPr>
      </w:pPr>
      <w:r w:rsidRPr="004A2B55">
        <w:rPr>
          <w:rFonts w:cs="Arial"/>
        </w:rPr>
        <w:t xml:space="preserve">An important part of this </w:t>
      </w:r>
      <w:r w:rsidR="00081F39">
        <w:rPr>
          <w:rFonts w:cs="Arial"/>
        </w:rPr>
        <w:t xml:space="preserve">aim </w:t>
      </w:r>
      <w:r w:rsidRPr="004A2B55">
        <w:rPr>
          <w:rFonts w:cs="Arial"/>
        </w:rPr>
        <w:t xml:space="preserve">is support </w:t>
      </w:r>
      <w:r w:rsidR="00F061C1" w:rsidRPr="004A2B55">
        <w:rPr>
          <w:rFonts w:cs="Arial"/>
        </w:rPr>
        <w:t xml:space="preserve">for </w:t>
      </w:r>
      <w:r w:rsidRPr="004A2B55">
        <w:rPr>
          <w:rFonts w:cs="Arial"/>
        </w:rPr>
        <w:t xml:space="preserve">children and young people most at risk of </w:t>
      </w:r>
      <w:r w:rsidRPr="00BD3965">
        <w:t>educational</w:t>
      </w:r>
      <w:r w:rsidR="00096EB8">
        <w:rPr>
          <w:rFonts w:cs="Arial"/>
        </w:rPr>
        <w:t xml:space="preserve"> under-achievement.</w:t>
      </w:r>
    </w:p>
    <w:p w:rsidR="008A2385" w:rsidRPr="00094571" w:rsidRDefault="008A2385" w:rsidP="008A2385">
      <w:pPr>
        <w:jc w:val="both"/>
      </w:pPr>
    </w:p>
    <w:bookmarkEnd w:id="2"/>
    <w:p w:rsidR="004B428C" w:rsidRDefault="00F061C1" w:rsidP="008A2385">
      <w:pPr>
        <w:jc w:val="both"/>
      </w:pPr>
      <w:r>
        <w:t>This relates to a</w:t>
      </w:r>
      <w:r w:rsidR="00055B5B" w:rsidRPr="00055B5B">
        <w:t xml:space="preserve"> longstanding feature of our funding system</w:t>
      </w:r>
      <w:r>
        <w:t>:</w:t>
      </w:r>
      <w:r w:rsidR="00055B5B" w:rsidRPr="00055B5B">
        <w:t xml:space="preserve"> the provision of additional funding to </w:t>
      </w:r>
      <w:r w:rsidR="00C17B8F">
        <w:t>ECE</w:t>
      </w:r>
      <w:r w:rsidR="00FB6B41">
        <w:t xml:space="preserve"> </w:t>
      </w:r>
      <w:r w:rsidR="00055B5B" w:rsidRPr="00055B5B">
        <w:t xml:space="preserve">services </w:t>
      </w:r>
      <w:r w:rsidR="00055B5B">
        <w:t xml:space="preserve">and schools </w:t>
      </w:r>
      <w:r w:rsidR="00055B5B" w:rsidRPr="00055B5B">
        <w:t>to enable them to overcome the barriers that can be faced by children from low</w:t>
      </w:r>
      <w:r w:rsidR="00055B5B">
        <w:t xml:space="preserve">er socioeconomic backgrounds. </w:t>
      </w:r>
    </w:p>
    <w:p w:rsidR="008A2385" w:rsidRDefault="008A2385" w:rsidP="008A2385">
      <w:pPr>
        <w:jc w:val="both"/>
      </w:pPr>
    </w:p>
    <w:p w:rsidR="00055B5B" w:rsidRDefault="00F061C1" w:rsidP="008A2385">
      <w:pPr>
        <w:jc w:val="both"/>
      </w:pPr>
      <w:r>
        <w:t>This feature</w:t>
      </w:r>
      <w:r w:rsidR="00055B5B" w:rsidRPr="00055B5B">
        <w:t xml:space="preserve"> has been driven by a recognition</w:t>
      </w:r>
      <w:r w:rsidR="00BD3965">
        <w:t xml:space="preserve"> that there is</w:t>
      </w:r>
      <w:r w:rsidR="00055B5B">
        <w:t xml:space="preserve"> a correlation between socio</w:t>
      </w:r>
      <w:r w:rsidR="00055B5B" w:rsidRPr="00055B5B">
        <w:t xml:space="preserve">economic background and educational outcomes. </w:t>
      </w:r>
      <w:r w:rsidR="00BD3965">
        <w:t xml:space="preserve">Or, </w:t>
      </w:r>
      <w:r w:rsidR="006D1CD7">
        <w:t>in other words</w:t>
      </w:r>
      <w:r w:rsidR="00BD3965">
        <w:t xml:space="preserve">, </w:t>
      </w:r>
      <w:r w:rsidR="004C48A9">
        <w:t xml:space="preserve">as a group </w:t>
      </w:r>
      <w:r w:rsidR="00055B5B" w:rsidRPr="00055B5B">
        <w:t xml:space="preserve">children </w:t>
      </w:r>
      <w:r>
        <w:t xml:space="preserve">and young people </w:t>
      </w:r>
      <w:r w:rsidR="006D1CD7">
        <w:t>from lower socio</w:t>
      </w:r>
      <w:r w:rsidR="00055B5B" w:rsidRPr="00055B5B">
        <w:t xml:space="preserve">economic backgrounds have a greater </w:t>
      </w:r>
      <w:r w:rsidR="00055B5B" w:rsidRPr="00081F39">
        <w:t>risk of educational under-achievement</w:t>
      </w:r>
      <w:r w:rsidR="00055B5B" w:rsidRPr="00055B5B">
        <w:t xml:space="preserve">.  </w:t>
      </w:r>
    </w:p>
    <w:p w:rsidR="006D1CD7" w:rsidRDefault="006D1CD7" w:rsidP="008A2385">
      <w:pPr>
        <w:jc w:val="both"/>
        <w:rPr>
          <w:rFonts w:cs="Arial"/>
        </w:rPr>
      </w:pPr>
    </w:p>
    <w:p w:rsidR="00F061C1" w:rsidRPr="00F061C1" w:rsidRDefault="00F061C1" w:rsidP="008A2385">
      <w:pPr>
        <w:jc w:val="both"/>
      </w:pPr>
      <w:r w:rsidRPr="004A2B55">
        <w:rPr>
          <w:rFonts w:cs="Arial"/>
        </w:rPr>
        <w:t xml:space="preserve">The focus of this paper is on ensuring that </w:t>
      </w:r>
      <w:r w:rsidR="001F6B64" w:rsidRPr="004A2B55">
        <w:rPr>
          <w:rFonts w:cs="Arial"/>
        </w:rPr>
        <w:t>funding arrang</w:t>
      </w:r>
      <w:r w:rsidR="00961871" w:rsidRPr="004A2B55">
        <w:rPr>
          <w:rFonts w:cs="Arial"/>
        </w:rPr>
        <w:t>e</w:t>
      </w:r>
      <w:r w:rsidR="001F6B64" w:rsidRPr="004A2B55">
        <w:rPr>
          <w:rFonts w:cs="Arial"/>
        </w:rPr>
        <w:t>ments</w:t>
      </w:r>
      <w:r w:rsidRPr="004A2B55">
        <w:rPr>
          <w:rFonts w:cs="Arial"/>
        </w:rPr>
        <w:t xml:space="preserve"> to support children and young people most at risk of </w:t>
      </w:r>
      <w:r w:rsidRPr="00BD3965">
        <w:t>educational</w:t>
      </w:r>
      <w:r w:rsidRPr="004A2B55">
        <w:rPr>
          <w:rFonts w:cs="Arial"/>
        </w:rPr>
        <w:t xml:space="preserve"> under-achievement </w:t>
      </w:r>
      <w:r w:rsidR="001F6B64" w:rsidRPr="004A2B55">
        <w:rPr>
          <w:rFonts w:cs="Arial"/>
        </w:rPr>
        <w:t xml:space="preserve">are </w:t>
      </w:r>
      <w:r w:rsidRPr="004A2B55">
        <w:rPr>
          <w:rFonts w:cs="Arial"/>
        </w:rPr>
        <w:t>fit-for-purpose. This includes making effective use of the insi</w:t>
      </w:r>
      <w:r w:rsidR="006D1CD7">
        <w:rPr>
          <w:rFonts w:cs="Arial"/>
        </w:rPr>
        <w:t>ghts and perspectives from the G</w:t>
      </w:r>
      <w:r w:rsidRPr="004A2B55">
        <w:rPr>
          <w:rFonts w:cs="Arial"/>
        </w:rPr>
        <w:t xml:space="preserve">overnment’s </w:t>
      </w:r>
      <w:r w:rsidRPr="00081F39">
        <w:rPr>
          <w:rFonts w:cs="Arial"/>
        </w:rPr>
        <w:t>Social Investment</w:t>
      </w:r>
      <w:r w:rsidRPr="004A2B55">
        <w:rPr>
          <w:rFonts w:cs="Arial"/>
        </w:rPr>
        <w:t xml:space="preserve"> </w:t>
      </w:r>
      <w:r w:rsidR="0058305B" w:rsidRPr="00081F39">
        <w:rPr>
          <w:rFonts w:cs="Arial"/>
        </w:rPr>
        <w:t>approach</w:t>
      </w:r>
      <w:r w:rsidRPr="004A2B55">
        <w:rPr>
          <w:rFonts w:cs="Arial"/>
        </w:rPr>
        <w:t>.</w:t>
      </w:r>
    </w:p>
    <w:p w:rsidR="006D1CD7" w:rsidRDefault="006D1CD7" w:rsidP="008A2385">
      <w:pPr>
        <w:jc w:val="both"/>
        <w:rPr>
          <w:rFonts w:cs="Arial"/>
        </w:rPr>
      </w:pPr>
    </w:p>
    <w:p w:rsidR="00F061C1" w:rsidRDefault="00F061C1" w:rsidP="008A2385">
      <w:pPr>
        <w:jc w:val="both"/>
        <w:rPr>
          <w:rFonts w:cs="Arial"/>
        </w:rPr>
      </w:pPr>
      <w:r w:rsidRPr="004A2B55">
        <w:rPr>
          <w:rFonts w:cs="Arial"/>
        </w:rPr>
        <w:t xml:space="preserve">To this end, the paper proposes replacing the current decile system with additional </w:t>
      </w:r>
      <w:r w:rsidR="006D1CD7">
        <w:rPr>
          <w:rFonts w:cs="Arial"/>
        </w:rPr>
        <w:t>funding</w:t>
      </w:r>
      <w:r w:rsidR="00C17B8F" w:rsidRPr="004A2B55">
        <w:rPr>
          <w:rFonts w:cs="Arial"/>
        </w:rPr>
        <w:t xml:space="preserve"> paid to ECE services and schools in respect of the children and young people </w:t>
      </w:r>
      <w:r w:rsidR="006D1CD7" w:rsidRPr="00852CE5">
        <w:rPr>
          <w:rFonts w:cs="Arial"/>
        </w:rPr>
        <w:t xml:space="preserve">who meet criteria </w:t>
      </w:r>
      <w:r w:rsidR="003875C8">
        <w:rPr>
          <w:rFonts w:cs="Arial"/>
        </w:rPr>
        <w:t xml:space="preserve">associated with </w:t>
      </w:r>
      <w:r w:rsidR="006D1CD7" w:rsidRPr="00852CE5">
        <w:rPr>
          <w:rFonts w:cs="Arial"/>
        </w:rPr>
        <w:t xml:space="preserve">being most </w:t>
      </w:r>
      <w:r w:rsidR="00C17B8F" w:rsidRPr="004A2B55">
        <w:rPr>
          <w:rFonts w:cs="Arial"/>
        </w:rPr>
        <w:t>at risk of educational under-achievement.</w:t>
      </w:r>
    </w:p>
    <w:p w:rsidR="008A2385" w:rsidRPr="00094571" w:rsidRDefault="008A2385" w:rsidP="008A2385">
      <w:pPr>
        <w:jc w:val="both"/>
      </w:pPr>
    </w:p>
    <w:p w:rsidR="0072038C" w:rsidRPr="0072038C" w:rsidRDefault="0072038C" w:rsidP="0072038C">
      <w:pPr>
        <w:pStyle w:val="MoEHeading2"/>
        <w:jc w:val="both"/>
        <w:rPr>
          <w:i/>
          <w:color w:val="0070C0"/>
        </w:rPr>
      </w:pPr>
      <w:r w:rsidRPr="0072038C">
        <w:rPr>
          <w:i/>
          <w:color w:val="0070C0"/>
        </w:rPr>
        <w:t>Interface with Special Education</w:t>
      </w:r>
    </w:p>
    <w:p w:rsidR="00D1498D" w:rsidRDefault="00D1498D" w:rsidP="008A2385">
      <w:pPr>
        <w:jc w:val="both"/>
      </w:pPr>
    </w:p>
    <w:p w:rsidR="00D1498D" w:rsidRDefault="00C17B8F" w:rsidP="008A2385">
      <w:pPr>
        <w:jc w:val="both"/>
      </w:pPr>
      <w:r>
        <w:t xml:space="preserve">This proposal </w:t>
      </w:r>
      <w:r w:rsidR="00F061C1" w:rsidRPr="007745F4">
        <w:t>is not intended to address risks to educational under-achievement on account of special educational needs. The separate funding mecha</w:t>
      </w:r>
      <w:r w:rsidR="00ED3462">
        <w:t xml:space="preserve">nisms in place to help services, </w:t>
      </w:r>
      <w:r w:rsidR="00F061C1" w:rsidRPr="007745F4">
        <w:t xml:space="preserve">schools </w:t>
      </w:r>
      <w:r w:rsidR="00ED3462" w:rsidRPr="00141D2A">
        <w:t xml:space="preserve">and Communities of Learning </w:t>
      </w:r>
      <w:r w:rsidR="00F061C1" w:rsidRPr="007745F4">
        <w:t xml:space="preserve">respond to special educational needs are outside the scope of this particular paper. </w:t>
      </w:r>
    </w:p>
    <w:p w:rsidR="00D1498D" w:rsidRDefault="00D1498D" w:rsidP="008A2385">
      <w:pPr>
        <w:jc w:val="both"/>
      </w:pPr>
    </w:p>
    <w:p w:rsidR="00F061C1" w:rsidRDefault="00F061C1" w:rsidP="008A2385">
      <w:pPr>
        <w:jc w:val="both"/>
      </w:pPr>
      <w:r w:rsidRPr="007745F4">
        <w:t>The proposals in this paper would</w:t>
      </w:r>
      <w:r w:rsidR="005674FE">
        <w:t>,</w:t>
      </w:r>
      <w:r w:rsidRPr="007745F4">
        <w:t xml:space="preserve"> however</w:t>
      </w:r>
      <w:r w:rsidR="005674FE">
        <w:t>,</w:t>
      </w:r>
      <w:r w:rsidRPr="007745F4">
        <w:t xml:space="preserve"> have flow-on implications for the mechanisms to support children and young people with l</w:t>
      </w:r>
      <w:r w:rsidR="006D1CD7">
        <w:t>ow or</w:t>
      </w:r>
      <w:r w:rsidRPr="007745F4">
        <w:t xml:space="preserve"> moderate special education needs (Special Education Grant and ECE Equity Funding Component B). These implications will need to be considered if the proposals are developed further.</w:t>
      </w:r>
    </w:p>
    <w:p w:rsidR="008A2385" w:rsidRDefault="008A2385" w:rsidP="008A2385">
      <w:pPr>
        <w:jc w:val="both"/>
      </w:pPr>
    </w:p>
    <w:p w:rsidR="00F061C1" w:rsidRDefault="00F061C1" w:rsidP="006735D7">
      <w:pPr>
        <w:pStyle w:val="MoEHeading1"/>
      </w:pPr>
      <w:r>
        <w:t>Key concepts</w:t>
      </w:r>
    </w:p>
    <w:p w:rsidR="004A2B55" w:rsidRDefault="004A2B55" w:rsidP="008A2385">
      <w:pPr>
        <w:jc w:val="both"/>
        <w:rPr>
          <w:rFonts w:cs="Arial"/>
        </w:rPr>
      </w:pPr>
    </w:p>
    <w:p w:rsidR="00F061C1" w:rsidRDefault="00F061C1" w:rsidP="008A2385">
      <w:pPr>
        <w:jc w:val="both"/>
        <w:rPr>
          <w:rFonts w:cs="Arial"/>
        </w:rPr>
      </w:pPr>
      <w:r w:rsidRPr="004A2B55">
        <w:rPr>
          <w:rFonts w:cs="Arial"/>
        </w:rPr>
        <w:t xml:space="preserve">This section briefly </w:t>
      </w:r>
      <w:r w:rsidR="00C17B8F" w:rsidRPr="004A2B55">
        <w:rPr>
          <w:rFonts w:cs="Arial"/>
        </w:rPr>
        <w:t>introduces</w:t>
      </w:r>
      <w:r w:rsidRPr="004A2B55">
        <w:rPr>
          <w:rFonts w:cs="Arial"/>
        </w:rPr>
        <w:t xml:space="preserve"> a </w:t>
      </w:r>
      <w:r w:rsidR="003875C8">
        <w:rPr>
          <w:rFonts w:cs="Arial"/>
        </w:rPr>
        <w:t>number</w:t>
      </w:r>
      <w:r w:rsidR="003875C8" w:rsidRPr="004A2B55">
        <w:rPr>
          <w:rFonts w:cs="Arial"/>
        </w:rPr>
        <w:t xml:space="preserve"> </w:t>
      </w:r>
      <w:r w:rsidRPr="004A2B55">
        <w:rPr>
          <w:rFonts w:cs="Arial"/>
        </w:rPr>
        <w:t xml:space="preserve">of the key concepts covered in </w:t>
      </w:r>
      <w:r w:rsidR="00C17B8F" w:rsidRPr="004A2B55">
        <w:rPr>
          <w:rFonts w:cs="Arial"/>
        </w:rPr>
        <w:t>the paper:</w:t>
      </w:r>
    </w:p>
    <w:p w:rsidR="008A2385" w:rsidRPr="00C17B8F" w:rsidRDefault="008A2385" w:rsidP="008A2385">
      <w:pPr>
        <w:jc w:val="both"/>
      </w:pPr>
    </w:p>
    <w:p w:rsidR="00C17B8F" w:rsidRDefault="00EC6178" w:rsidP="008A2385">
      <w:pPr>
        <w:pStyle w:val="ListParagraph"/>
        <w:numPr>
          <w:ilvl w:val="0"/>
          <w:numId w:val="25"/>
        </w:numPr>
        <w:jc w:val="both"/>
      </w:pPr>
      <w:r>
        <w:t>t</w:t>
      </w:r>
      <w:r w:rsidR="00C17B8F">
        <w:t xml:space="preserve">he </w:t>
      </w:r>
      <w:r w:rsidR="0058305B" w:rsidRPr="00081F39">
        <w:t>Social Investment approach</w:t>
      </w:r>
    </w:p>
    <w:p w:rsidR="008A2385" w:rsidRDefault="008A2385" w:rsidP="008A2385">
      <w:pPr>
        <w:pStyle w:val="ListParagraph"/>
        <w:jc w:val="both"/>
      </w:pPr>
    </w:p>
    <w:p w:rsidR="00C17B8F" w:rsidRDefault="00C17B8F" w:rsidP="008A2385">
      <w:pPr>
        <w:pStyle w:val="ListParagraph"/>
        <w:numPr>
          <w:ilvl w:val="0"/>
          <w:numId w:val="25"/>
        </w:numPr>
        <w:jc w:val="both"/>
      </w:pPr>
      <w:r w:rsidRPr="00C17B8F">
        <w:t>risk of</w:t>
      </w:r>
      <w:r>
        <w:t xml:space="preserve"> educational under-achievement</w:t>
      </w:r>
    </w:p>
    <w:p w:rsidR="008A2385" w:rsidRDefault="008A2385" w:rsidP="008A2385">
      <w:pPr>
        <w:jc w:val="both"/>
      </w:pPr>
    </w:p>
    <w:p w:rsidR="00C17B8F" w:rsidRDefault="00C17B8F" w:rsidP="008A2385">
      <w:pPr>
        <w:pStyle w:val="ListParagraph"/>
        <w:numPr>
          <w:ilvl w:val="0"/>
          <w:numId w:val="25"/>
        </w:numPr>
        <w:jc w:val="both"/>
      </w:pPr>
      <w:proofErr w:type="gramStart"/>
      <w:r>
        <w:t>s</w:t>
      </w:r>
      <w:r w:rsidRPr="00C17B8F">
        <w:t>ocioeconomic</w:t>
      </w:r>
      <w:proofErr w:type="gramEnd"/>
      <w:r w:rsidRPr="00C17B8F">
        <w:t xml:space="preserve"> status</w:t>
      </w:r>
      <w:r w:rsidR="008A2385">
        <w:t>.</w:t>
      </w:r>
    </w:p>
    <w:p w:rsidR="008A2385" w:rsidRDefault="008A2385" w:rsidP="008A2385">
      <w:pPr>
        <w:jc w:val="both"/>
      </w:pPr>
    </w:p>
    <w:p w:rsidR="00D1498D" w:rsidRDefault="00D1498D" w:rsidP="008A2385">
      <w:pPr>
        <w:jc w:val="both"/>
      </w:pPr>
    </w:p>
    <w:p w:rsidR="00D1498D" w:rsidRPr="00F061C1" w:rsidRDefault="00D1498D" w:rsidP="008A2385">
      <w:pPr>
        <w:jc w:val="both"/>
      </w:pPr>
    </w:p>
    <w:p w:rsidR="00C17B8F" w:rsidRPr="008A2385" w:rsidRDefault="00C17B8F" w:rsidP="008A2385">
      <w:pPr>
        <w:pStyle w:val="MoEHeading2"/>
        <w:jc w:val="both"/>
        <w:rPr>
          <w:i/>
          <w:color w:val="0070C0"/>
        </w:rPr>
      </w:pPr>
      <w:r w:rsidRPr="008A2385">
        <w:rPr>
          <w:i/>
          <w:color w:val="0070C0"/>
        </w:rPr>
        <w:lastRenderedPageBreak/>
        <w:t xml:space="preserve">The Social Investment </w:t>
      </w:r>
      <w:r w:rsidRPr="006735D7">
        <w:rPr>
          <w:i/>
          <w:color w:val="2A6EBB"/>
        </w:rPr>
        <w:t>approach</w:t>
      </w:r>
    </w:p>
    <w:p w:rsidR="008A2385" w:rsidRPr="008A2385" w:rsidRDefault="008A2385" w:rsidP="008A2385">
      <w:pPr>
        <w:pStyle w:val="MoEBodyText"/>
        <w:spacing w:after="0"/>
        <w:jc w:val="both"/>
      </w:pPr>
    </w:p>
    <w:p w:rsidR="00C17B8F" w:rsidRDefault="00C17B8F" w:rsidP="008A2385">
      <w:pPr>
        <w:jc w:val="both"/>
        <w:rPr>
          <w:rFonts w:cs="Arial"/>
        </w:rPr>
      </w:pPr>
      <w:r w:rsidRPr="004A2B55">
        <w:rPr>
          <w:rFonts w:cs="Arial"/>
        </w:rPr>
        <w:t xml:space="preserve">Social </w:t>
      </w:r>
      <w:r w:rsidR="00081F39">
        <w:rPr>
          <w:rFonts w:cs="Arial"/>
        </w:rPr>
        <w:t>I</w:t>
      </w:r>
      <w:r w:rsidRPr="004A2B55">
        <w:rPr>
          <w:rFonts w:cs="Arial"/>
        </w:rPr>
        <w:t xml:space="preserve">nvestment is about improving the lives of New Zealanders by applying rigorous and evidence-based investment practices to social services. It means using information and technology to better understand the people who need public services and what works, and then adjusting services accordingly. The </w:t>
      </w:r>
      <w:r w:rsidR="0058305B" w:rsidRPr="00081F39">
        <w:rPr>
          <w:rFonts w:cs="Arial"/>
        </w:rPr>
        <w:t>Social Investment approach</w:t>
      </w:r>
      <w:r w:rsidRPr="004A2B55">
        <w:rPr>
          <w:rFonts w:cs="Arial"/>
        </w:rPr>
        <w:t xml:space="preserve"> involves answering two key questions:</w:t>
      </w:r>
    </w:p>
    <w:p w:rsidR="008A2385" w:rsidRPr="004A2B55" w:rsidRDefault="008A2385" w:rsidP="008A2385">
      <w:pPr>
        <w:jc w:val="both"/>
        <w:rPr>
          <w:rFonts w:cs="Arial"/>
        </w:rPr>
      </w:pPr>
    </w:p>
    <w:p w:rsidR="00C17B8F" w:rsidRDefault="00EC6178" w:rsidP="008A2385">
      <w:pPr>
        <w:pStyle w:val="ListParagraph"/>
        <w:numPr>
          <w:ilvl w:val="0"/>
          <w:numId w:val="26"/>
        </w:numPr>
        <w:jc w:val="both"/>
        <w:rPr>
          <w:rFonts w:cs="Arial"/>
        </w:rPr>
      </w:pPr>
      <w:proofErr w:type="gramStart"/>
      <w:r>
        <w:rPr>
          <w:rFonts w:cs="Arial"/>
        </w:rPr>
        <w:t>w</w:t>
      </w:r>
      <w:r w:rsidR="00C17B8F" w:rsidRPr="00C17B8F">
        <w:rPr>
          <w:rFonts w:cs="Arial"/>
        </w:rPr>
        <w:t>ho</w:t>
      </w:r>
      <w:proofErr w:type="gramEnd"/>
      <w:r w:rsidR="00C17B8F" w:rsidRPr="00C17B8F">
        <w:rPr>
          <w:rFonts w:cs="Arial"/>
        </w:rPr>
        <w:t xml:space="preserve"> do we need to get better long-term results for?</w:t>
      </w:r>
    </w:p>
    <w:p w:rsidR="008A2385" w:rsidRPr="00C17B8F" w:rsidRDefault="008A2385" w:rsidP="008A2385">
      <w:pPr>
        <w:pStyle w:val="ListParagraph"/>
        <w:jc w:val="both"/>
        <w:rPr>
          <w:rFonts w:cs="Arial"/>
        </w:rPr>
      </w:pPr>
    </w:p>
    <w:p w:rsidR="00C17B8F" w:rsidRDefault="00EC6178" w:rsidP="008A2385">
      <w:pPr>
        <w:pStyle w:val="ListParagraph"/>
        <w:numPr>
          <w:ilvl w:val="0"/>
          <w:numId w:val="26"/>
        </w:numPr>
        <w:jc w:val="both"/>
        <w:rPr>
          <w:rFonts w:cs="Arial"/>
        </w:rPr>
      </w:pPr>
      <w:proofErr w:type="gramStart"/>
      <w:r>
        <w:rPr>
          <w:rFonts w:cs="Arial"/>
        </w:rPr>
        <w:t>w</w:t>
      </w:r>
      <w:r w:rsidR="00C17B8F" w:rsidRPr="00C17B8F">
        <w:rPr>
          <w:rFonts w:cs="Arial"/>
        </w:rPr>
        <w:t>hat</w:t>
      </w:r>
      <w:proofErr w:type="gramEnd"/>
      <w:r w:rsidR="00C17B8F" w:rsidRPr="00C17B8F">
        <w:rPr>
          <w:rFonts w:cs="Arial"/>
        </w:rPr>
        <w:t xml:space="preserve"> is the best way to get those results?</w:t>
      </w:r>
    </w:p>
    <w:p w:rsidR="008A2385" w:rsidRPr="008A2385" w:rsidRDefault="008A2385" w:rsidP="008A2385">
      <w:pPr>
        <w:jc w:val="both"/>
        <w:rPr>
          <w:rFonts w:cs="Arial"/>
        </w:rPr>
      </w:pPr>
    </w:p>
    <w:p w:rsidR="00C17B8F" w:rsidRDefault="00C17B8F" w:rsidP="008A2385">
      <w:pPr>
        <w:jc w:val="both"/>
        <w:rPr>
          <w:rFonts w:cs="Arial"/>
        </w:rPr>
      </w:pPr>
      <w:r w:rsidRPr="004A2B55">
        <w:rPr>
          <w:rFonts w:cs="Arial"/>
        </w:rPr>
        <w:t>To identify who we need to get better long-term results for, we need to get better at collecting and analysing data. If we understand more about people's experiences we will be able to be more responsive to their needs. This may include a particular focus on vulnerable or high-risk groups; and investing up-front to support people most at risk of poor outcomes later on in life.</w:t>
      </w:r>
    </w:p>
    <w:p w:rsidR="008A2385" w:rsidRPr="004A2B55" w:rsidRDefault="008A2385" w:rsidP="008A2385">
      <w:pPr>
        <w:jc w:val="both"/>
        <w:rPr>
          <w:rFonts w:cs="Arial"/>
        </w:rPr>
      </w:pPr>
    </w:p>
    <w:p w:rsidR="00C17B8F" w:rsidRPr="008A2385" w:rsidRDefault="00C17B8F" w:rsidP="008A2385">
      <w:pPr>
        <w:pStyle w:val="MoEHeading2"/>
        <w:jc w:val="both"/>
        <w:rPr>
          <w:i/>
          <w:color w:val="0070C0"/>
        </w:rPr>
      </w:pPr>
      <w:r w:rsidRPr="008A2385">
        <w:rPr>
          <w:i/>
          <w:color w:val="0070C0"/>
        </w:rPr>
        <w:t xml:space="preserve">Risk of educational </w:t>
      </w:r>
      <w:r w:rsidRPr="006735D7">
        <w:rPr>
          <w:i/>
          <w:color w:val="2A6EBB"/>
        </w:rPr>
        <w:t>under</w:t>
      </w:r>
      <w:r w:rsidRPr="008A2385">
        <w:rPr>
          <w:i/>
          <w:color w:val="0070C0"/>
        </w:rPr>
        <w:t>-achievement</w:t>
      </w:r>
    </w:p>
    <w:p w:rsidR="008A2385" w:rsidRDefault="008A2385" w:rsidP="008A2385">
      <w:pPr>
        <w:jc w:val="both"/>
        <w:rPr>
          <w:rFonts w:cs="Arial"/>
        </w:rPr>
      </w:pPr>
    </w:p>
    <w:p w:rsidR="00C17B8F" w:rsidRDefault="00BE60C4" w:rsidP="008A2385">
      <w:pPr>
        <w:jc w:val="both"/>
        <w:rPr>
          <w:rFonts w:cs="Arial"/>
        </w:rPr>
      </w:pPr>
      <w:r w:rsidRPr="004A2B55">
        <w:rPr>
          <w:rFonts w:cs="Arial"/>
        </w:rPr>
        <w:t>The term</w:t>
      </w:r>
      <w:r w:rsidR="002665BA" w:rsidRPr="002665BA">
        <w:t xml:space="preserve"> </w:t>
      </w:r>
      <w:r w:rsidR="002665BA">
        <w:t>‘</w:t>
      </w:r>
      <w:r w:rsidR="002665BA" w:rsidRPr="004A2B55">
        <w:rPr>
          <w:rFonts w:cs="Arial"/>
        </w:rPr>
        <w:t>risk of educational under-achievement</w:t>
      </w:r>
      <w:r w:rsidRPr="004A2B55">
        <w:rPr>
          <w:rFonts w:cs="Arial"/>
        </w:rPr>
        <w:t xml:space="preserve">’, as used in this paper, </w:t>
      </w:r>
      <w:r w:rsidR="009E2006" w:rsidRPr="004A2B55">
        <w:rPr>
          <w:rFonts w:cs="Arial"/>
        </w:rPr>
        <w:t xml:space="preserve">could mean that </w:t>
      </w:r>
      <w:r w:rsidR="00BD3965" w:rsidRPr="004A2B55">
        <w:rPr>
          <w:rFonts w:cs="Arial"/>
        </w:rPr>
        <w:t>available information</w:t>
      </w:r>
      <w:r w:rsidR="002665BA" w:rsidRPr="004A2B55">
        <w:rPr>
          <w:rFonts w:cs="Arial"/>
        </w:rPr>
        <w:t xml:space="preserve"> </w:t>
      </w:r>
      <w:r w:rsidR="009E2006" w:rsidRPr="004A2B55">
        <w:rPr>
          <w:rFonts w:cs="Arial"/>
        </w:rPr>
        <w:t xml:space="preserve">suggests that </w:t>
      </w:r>
      <w:r w:rsidR="002665BA" w:rsidRPr="004A2B55">
        <w:rPr>
          <w:rFonts w:cs="Arial"/>
        </w:rPr>
        <w:t xml:space="preserve">the child or young </w:t>
      </w:r>
      <w:r w:rsidR="005E3442" w:rsidRPr="004A2B55">
        <w:rPr>
          <w:rFonts w:cs="Arial"/>
        </w:rPr>
        <w:t xml:space="preserve">person </w:t>
      </w:r>
      <w:r w:rsidR="009E2006" w:rsidRPr="004A2B55">
        <w:rPr>
          <w:rFonts w:cs="Arial"/>
        </w:rPr>
        <w:t>has</w:t>
      </w:r>
      <w:r w:rsidR="002665BA" w:rsidRPr="004A2B55">
        <w:rPr>
          <w:rFonts w:cs="Arial"/>
        </w:rPr>
        <w:t xml:space="preserve"> a strong likelihood of not meeting a particular achievement target (e.g. NCEA Level 2). </w:t>
      </w:r>
    </w:p>
    <w:p w:rsidR="008A2385" w:rsidRPr="00C17B8F" w:rsidRDefault="008A2385" w:rsidP="008A2385">
      <w:pPr>
        <w:jc w:val="both"/>
      </w:pPr>
    </w:p>
    <w:p w:rsidR="002665BA" w:rsidRDefault="002665BA" w:rsidP="008A2385">
      <w:pPr>
        <w:jc w:val="both"/>
        <w:rPr>
          <w:rFonts w:cs="Arial"/>
        </w:rPr>
      </w:pPr>
      <w:r w:rsidRPr="004A2B55">
        <w:rPr>
          <w:rFonts w:cs="Arial"/>
        </w:rPr>
        <w:t xml:space="preserve">It </w:t>
      </w:r>
      <w:r w:rsidR="009E2006" w:rsidRPr="004A2B55">
        <w:rPr>
          <w:rFonts w:cs="Arial"/>
        </w:rPr>
        <w:t>might</w:t>
      </w:r>
      <w:r w:rsidRPr="004A2B55">
        <w:rPr>
          <w:rFonts w:cs="Arial"/>
        </w:rPr>
        <w:t xml:space="preserve"> also mean that the child </w:t>
      </w:r>
      <w:r w:rsidR="005E3442" w:rsidRPr="004A2B55">
        <w:rPr>
          <w:rFonts w:cs="Arial"/>
        </w:rPr>
        <w:t>or young person</w:t>
      </w:r>
      <w:r w:rsidR="004C48A9" w:rsidRPr="004A2B55">
        <w:rPr>
          <w:rFonts w:cs="Arial"/>
        </w:rPr>
        <w:t xml:space="preserve"> has been identified as having certain contextual factors (e.g. some measure of </w:t>
      </w:r>
      <w:r w:rsidR="00081F39">
        <w:rPr>
          <w:rFonts w:cs="Arial"/>
        </w:rPr>
        <w:t xml:space="preserve">lower </w:t>
      </w:r>
      <w:r w:rsidR="004C48A9" w:rsidRPr="004A2B55">
        <w:rPr>
          <w:rFonts w:cs="Arial"/>
        </w:rPr>
        <w:t xml:space="preserve">socioeconomic status) that are associated with </w:t>
      </w:r>
      <w:r w:rsidR="005E3442" w:rsidRPr="004A2B55">
        <w:rPr>
          <w:rFonts w:cs="Arial"/>
        </w:rPr>
        <w:t xml:space="preserve">a </w:t>
      </w:r>
      <w:r w:rsidR="004C48A9" w:rsidRPr="004A2B55">
        <w:rPr>
          <w:rFonts w:cs="Arial"/>
        </w:rPr>
        <w:t xml:space="preserve">lower distribution of achievement than the population </w:t>
      </w:r>
      <w:r w:rsidR="005E3442" w:rsidRPr="004A2B55">
        <w:rPr>
          <w:rFonts w:cs="Arial"/>
        </w:rPr>
        <w:t>as</w:t>
      </w:r>
      <w:r w:rsidR="004B428C" w:rsidRPr="004A2B55">
        <w:rPr>
          <w:rFonts w:cs="Arial"/>
        </w:rPr>
        <w:t xml:space="preserve"> </w:t>
      </w:r>
      <w:r w:rsidRPr="004A2B55">
        <w:rPr>
          <w:rFonts w:cs="Arial"/>
        </w:rPr>
        <w:t xml:space="preserve">a </w:t>
      </w:r>
      <w:r w:rsidR="005E3442" w:rsidRPr="004A2B55">
        <w:rPr>
          <w:rFonts w:cs="Arial"/>
        </w:rPr>
        <w:t>whole</w:t>
      </w:r>
      <w:r w:rsidRPr="004A2B55">
        <w:rPr>
          <w:rFonts w:cs="Arial"/>
        </w:rPr>
        <w:t>.</w:t>
      </w:r>
    </w:p>
    <w:p w:rsidR="008A2385" w:rsidRPr="00C17B8F" w:rsidRDefault="008A2385" w:rsidP="008A2385">
      <w:pPr>
        <w:jc w:val="both"/>
      </w:pPr>
    </w:p>
    <w:p w:rsidR="00C17B8F" w:rsidRPr="008A2385" w:rsidRDefault="00C17B8F" w:rsidP="008A2385">
      <w:pPr>
        <w:pStyle w:val="MoEHeading2"/>
        <w:jc w:val="both"/>
        <w:rPr>
          <w:i/>
          <w:color w:val="0070C0"/>
        </w:rPr>
      </w:pPr>
      <w:r w:rsidRPr="008A2385">
        <w:rPr>
          <w:i/>
          <w:color w:val="0070C0"/>
        </w:rPr>
        <w:t xml:space="preserve">Socioeconomic </w:t>
      </w:r>
      <w:r w:rsidRPr="006735D7">
        <w:rPr>
          <w:i/>
          <w:color w:val="2A6EBB"/>
        </w:rPr>
        <w:t>status</w:t>
      </w:r>
    </w:p>
    <w:p w:rsidR="008A2385" w:rsidRPr="008A2385" w:rsidRDefault="008A2385" w:rsidP="006D1CD7">
      <w:pPr>
        <w:pStyle w:val="MoEBodyText"/>
        <w:spacing w:after="0"/>
        <w:jc w:val="both"/>
      </w:pPr>
    </w:p>
    <w:p w:rsidR="00011B45" w:rsidRDefault="00011B45" w:rsidP="008A2385">
      <w:pPr>
        <w:jc w:val="both"/>
        <w:rPr>
          <w:rFonts w:cs="Arial"/>
        </w:rPr>
      </w:pPr>
      <w:r>
        <w:rPr>
          <w:rFonts w:cs="Arial"/>
        </w:rPr>
        <w:t xml:space="preserve">Only some of the variance in children and young people’s achievement can be explained by the various </w:t>
      </w:r>
      <w:r w:rsidR="00C17B8F" w:rsidRPr="004A2B55">
        <w:rPr>
          <w:rFonts w:cs="Arial"/>
        </w:rPr>
        <w:t xml:space="preserve">contextual factors </w:t>
      </w:r>
      <w:r>
        <w:rPr>
          <w:rFonts w:cs="Arial"/>
        </w:rPr>
        <w:t>in their l</w:t>
      </w:r>
      <w:r w:rsidR="00D1498D">
        <w:rPr>
          <w:rFonts w:cs="Arial"/>
        </w:rPr>
        <w:t>ife. O</w:t>
      </w:r>
      <w:r>
        <w:rPr>
          <w:rFonts w:cs="Arial"/>
        </w:rPr>
        <w:t xml:space="preserve">ut of these factors, </w:t>
      </w:r>
      <w:r w:rsidR="00D1498D">
        <w:rPr>
          <w:rFonts w:cs="Arial"/>
        </w:rPr>
        <w:t xml:space="preserve">however, </w:t>
      </w:r>
      <w:r w:rsidR="008C149C" w:rsidRPr="004A2B55">
        <w:rPr>
          <w:rFonts w:cs="Arial"/>
        </w:rPr>
        <w:t>socioeconomic status</w:t>
      </w:r>
      <w:r w:rsidR="008C149C">
        <w:rPr>
          <w:rFonts w:cs="Arial"/>
        </w:rPr>
        <w:t xml:space="preserve"> is one of the most important in terms of influencing</w:t>
      </w:r>
      <w:r w:rsidR="008C149C" w:rsidRPr="004A2B55">
        <w:rPr>
          <w:rFonts w:cs="Arial"/>
        </w:rPr>
        <w:t xml:space="preserve"> </w:t>
      </w:r>
      <w:r w:rsidR="00C17B8F" w:rsidRPr="004A2B55">
        <w:rPr>
          <w:rFonts w:cs="Arial"/>
        </w:rPr>
        <w:t xml:space="preserve">educational achievement. </w:t>
      </w:r>
    </w:p>
    <w:p w:rsidR="00011B45" w:rsidRDefault="00011B45" w:rsidP="008A2385">
      <w:pPr>
        <w:jc w:val="both"/>
        <w:rPr>
          <w:rFonts w:cs="Arial"/>
        </w:rPr>
      </w:pPr>
    </w:p>
    <w:p w:rsidR="00C17B8F" w:rsidRDefault="00542441" w:rsidP="008A2385">
      <w:pPr>
        <w:jc w:val="both"/>
        <w:rPr>
          <w:rFonts w:cs="Arial"/>
        </w:rPr>
      </w:pPr>
      <w:r>
        <w:rPr>
          <w:rFonts w:cs="Arial"/>
        </w:rPr>
        <w:t>S</w:t>
      </w:r>
      <w:r w:rsidR="00C17B8F" w:rsidRPr="004A2B55">
        <w:rPr>
          <w:rFonts w:cs="Arial"/>
        </w:rPr>
        <w:t>ocioeconomic status is a broad concept with a number of different facets. It is not simply about how much income a household is receiving at a particular point in time.</w:t>
      </w:r>
    </w:p>
    <w:p w:rsidR="008A2385" w:rsidRPr="004A2B55" w:rsidRDefault="008A2385" w:rsidP="008A2385">
      <w:pPr>
        <w:jc w:val="both"/>
        <w:rPr>
          <w:rFonts w:cs="Arial"/>
        </w:rPr>
      </w:pPr>
    </w:p>
    <w:p w:rsidR="00C17B8F" w:rsidRDefault="00C17B8F" w:rsidP="008A2385">
      <w:pPr>
        <w:jc w:val="both"/>
        <w:rPr>
          <w:rFonts w:cs="Arial"/>
        </w:rPr>
      </w:pPr>
      <w:r w:rsidRPr="004A2B55">
        <w:rPr>
          <w:rFonts w:cs="Arial"/>
        </w:rPr>
        <w:t>Traditionally, socioeconomic status has most often been identified through one or a combination of</w:t>
      </w:r>
      <w:r w:rsidR="006D1CD7">
        <w:rPr>
          <w:rFonts w:cs="Arial"/>
        </w:rPr>
        <w:t xml:space="preserve"> the following (although o</w:t>
      </w:r>
      <w:r w:rsidR="006D1CD7" w:rsidRPr="004A2B55">
        <w:rPr>
          <w:rFonts w:cs="Arial"/>
        </w:rPr>
        <w:t>ther measures or proxies are sometimes used</w:t>
      </w:r>
      <w:r w:rsidR="006D1CD7">
        <w:rPr>
          <w:rFonts w:cs="Arial"/>
        </w:rPr>
        <w:t>)</w:t>
      </w:r>
      <w:r w:rsidRPr="004A2B55">
        <w:rPr>
          <w:rFonts w:cs="Arial"/>
        </w:rPr>
        <w:t>:</w:t>
      </w:r>
    </w:p>
    <w:p w:rsidR="008A2385" w:rsidRPr="004A2B55" w:rsidRDefault="008A2385" w:rsidP="008A2385">
      <w:pPr>
        <w:jc w:val="both"/>
        <w:rPr>
          <w:rFonts w:cs="Arial"/>
        </w:rPr>
      </w:pPr>
    </w:p>
    <w:p w:rsidR="00C17B8F" w:rsidRDefault="008A2385" w:rsidP="008A2385">
      <w:pPr>
        <w:pStyle w:val="ListParagraph"/>
        <w:numPr>
          <w:ilvl w:val="0"/>
          <w:numId w:val="26"/>
        </w:numPr>
        <w:jc w:val="both"/>
        <w:rPr>
          <w:rFonts w:cs="Arial"/>
        </w:rPr>
      </w:pPr>
      <w:r>
        <w:rPr>
          <w:rFonts w:cs="Arial"/>
        </w:rPr>
        <w:t>p</w:t>
      </w:r>
      <w:r w:rsidR="00C17B8F" w:rsidRPr="00C17B8F">
        <w:rPr>
          <w:rFonts w:cs="Arial"/>
        </w:rPr>
        <w:t>arental income</w:t>
      </w:r>
    </w:p>
    <w:p w:rsidR="008A2385" w:rsidRPr="008A2385" w:rsidRDefault="008A2385" w:rsidP="008A2385">
      <w:pPr>
        <w:ind w:left="360"/>
        <w:jc w:val="both"/>
        <w:rPr>
          <w:rFonts w:cs="Arial"/>
        </w:rPr>
      </w:pPr>
    </w:p>
    <w:p w:rsidR="00C17B8F" w:rsidRDefault="008A2385" w:rsidP="008A2385">
      <w:pPr>
        <w:pStyle w:val="ListParagraph"/>
        <w:numPr>
          <w:ilvl w:val="0"/>
          <w:numId w:val="26"/>
        </w:numPr>
        <w:jc w:val="both"/>
        <w:rPr>
          <w:rFonts w:cs="Arial"/>
        </w:rPr>
      </w:pPr>
      <w:r>
        <w:rPr>
          <w:rFonts w:cs="Arial"/>
        </w:rPr>
        <w:t>p</w:t>
      </w:r>
      <w:r w:rsidR="00C17B8F" w:rsidRPr="00C17B8F">
        <w:rPr>
          <w:rFonts w:cs="Arial"/>
        </w:rPr>
        <w:t>arental occupation</w:t>
      </w:r>
    </w:p>
    <w:p w:rsidR="008A2385" w:rsidRPr="008A2385" w:rsidRDefault="008A2385" w:rsidP="008A2385">
      <w:pPr>
        <w:jc w:val="both"/>
        <w:rPr>
          <w:rFonts w:cs="Arial"/>
        </w:rPr>
      </w:pPr>
    </w:p>
    <w:p w:rsidR="00C17B8F" w:rsidRDefault="008A2385" w:rsidP="008A2385">
      <w:pPr>
        <w:pStyle w:val="ListParagraph"/>
        <w:numPr>
          <w:ilvl w:val="0"/>
          <w:numId w:val="26"/>
        </w:numPr>
        <w:jc w:val="both"/>
        <w:rPr>
          <w:rFonts w:cs="Arial"/>
        </w:rPr>
      </w:pPr>
      <w:proofErr w:type="gramStart"/>
      <w:r>
        <w:rPr>
          <w:rFonts w:cs="Arial"/>
        </w:rPr>
        <w:t>p</w:t>
      </w:r>
      <w:r w:rsidR="00C17B8F" w:rsidRPr="00C17B8F">
        <w:rPr>
          <w:rFonts w:cs="Arial"/>
        </w:rPr>
        <w:t>arental</w:t>
      </w:r>
      <w:proofErr w:type="gramEnd"/>
      <w:r w:rsidR="00C17B8F" w:rsidRPr="00C17B8F">
        <w:rPr>
          <w:rFonts w:cs="Arial"/>
        </w:rPr>
        <w:t xml:space="preserve"> education</w:t>
      </w:r>
      <w:r w:rsidR="001F6B64">
        <w:rPr>
          <w:rFonts w:cs="Arial"/>
        </w:rPr>
        <w:t>.</w:t>
      </w:r>
    </w:p>
    <w:p w:rsidR="008A2385" w:rsidRPr="008A2385" w:rsidRDefault="008A2385" w:rsidP="008A2385">
      <w:pPr>
        <w:jc w:val="both"/>
        <w:rPr>
          <w:rFonts w:cs="Arial"/>
        </w:rPr>
      </w:pPr>
    </w:p>
    <w:p w:rsidR="00C17B8F" w:rsidRDefault="00C17B8F" w:rsidP="008A2385">
      <w:pPr>
        <w:jc w:val="both"/>
        <w:rPr>
          <w:rFonts w:cs="Arial"/>
        </w:rPr>
      </w:pPr>
      <w:r w:rsidRPr="004A2B55">
        <w:rPr>
          <w:rFonts w:cs="Arial"/>
        </w:rPr>
        <w:t xml:space="preserve">The </w:t>
      </w:r>
      <w:r w:rsidRPr="004A2B55">
        <w:rPr>
          <w:rFonts w:cs="Arial"/>
          <w:i/>
        </w:rPr>
        <w:t>home learning environment</w:t>
      </w:r>
      <w:r w:rsidRPr="004A2B55">
        <w:rPr>
          <w:rFonts w:cs="Arial"/>
        </w:rPr>
        <w:t xml:space="preserve"> also has an important influence on educational achievement. This concept overlaps with socioeconomic status. </w:t>
      </w:r>
      <w:r w:rsidR="003875C8">
        <w:rPr>
          <w:rFonts w:cs="Arial"/>
        </w:rPr>
        <w:t>For example, l</w:t>
      </w:r>
      <w:r w:rsidR="003875C8" w:rsidRPr="004A2B55">
        <w:rPr>
          <w:rFonts w:cs="Arial"/>
        </w:rPr>
        <w:t xml:space="preserve">ow </w:t>
      </w:r>
      <w:r w:rsidRPr="004A2B55">
        <w:rPr>
          <w:rFonts w:cs="Arial"/>
        </w:rPr>
        <w:t xml:space="preserve">socioeconomic status households may have fewer educational resources. </w:t>
      </w:r>
    </w:p>
    <w:p w:rsidR="008A2385" w:rsidRPr="004A2B55" w:rsidRDefault="008A2385" w:rsidP="008A2385">
      <w:pPr>
        <w:jc w:val="both"/>
        <w:rPr>
          <w:rFonts w:cs="Arial"/>
        </w:rPr>
      </w:pPr>
    </w:p>
    <w:p w:rsidR="00DE2FD2" w:rsidRDefault="00DE2FD2">
      <w:pPr>
        <w:spacing w:line="240" w:lineRule="atLeast"/>
        <w:rPr>
          <w:rFonts w:eastAsiaTheme="majorEastAsia" w:cs="Arial"/>
          <w:b/>
          <w:color w:val="2A6EBB"/>
          <w:sz w:val="24"/>
          <w:szCs w:val="44"/>
        </w:rPr>
      </w:pPr>
      <w:bookmarkStart w:id="3" w:name="_Toc451770532"/>
      <w:r>
        <w:br w:type="page"/>
      </w:r>
    </w:p>
    <w:p w:rsidR="000C4EE7" w:rsidRPr="000C4EE7" w:rsidRDefault="00F9142F" w:rsidP="006735D7">
      <w:pPr>
        <w:pStyle w:val="MoEHeading1"/>
      </w:pPr>
      <w:r w:rsidRPr="00F9142F">
        <w:t>The current state</w:t>
      </w:r>
      <w:bookmarkEnd w:id="3"/>
    </w:p>
    <w:p w:rsidR="004A2B55" w:rsidRDefault="004A2B55" w:rsidP="008A2385">
      <w:pPr>
        <w:jc w:val="both"/>
        <w:rPr>
          <w:rFonts w:cs="Arial"/>
        </w:rPr>
      </w:pPr>
    </w:p>
    <w:p w:rsidR="00873645" w:rsidRDefault="0063085A" w:rsidP="008A2385">
      <w:pPr>
        <w:jc w:val="both"/>
        <w:rPr>
          <w:rFonts w:cs="Arial"/>
        </w:rPr>
      </w:pPr>
      <w:r w:rsidRPr="004A2B55">
        <w:rPr>
          <w:rFonts w:cs="Arial"/>
        </w:rPr>
        <w:t>S</w:t>
      </w:r>
      <w:r w:rsidR="00D44257" w:rsidRPr="004A2B55">
        <w:rPr>
          <w:rFonts w:cs="Arial"/>
        </w:rPr>
        <w:t xml:space="preserve">chools currently receive </w:t>
      </w:r>
      <w:r w:rsidR="009B2CBE" w:rsidRPr="004A2B55">
        <w:rPr>
          <w:rFonts w:cs="Arial"/>
        </w:rPr>
        <w:t xml:space="preserve">additional </w:t>
      </w:r>
      <w:r w:rsidR="003875C8">
        <w:rPr>
          <w:rFonts w:cs="Arial"/>
        </w:rPr>
        <w:t>funding</w:t>
      </w:r>
      <w:r w:rsidR="003875C8" w:rsidRPr="004A2B55">
        <w:rPr>
          <w:rFonts w:cs="Arial"/>
        </w:rPr>
        <w:t xml:space="preserve"> </w:t>
      </w:r>
      <w:r w:rsidR="00D44257" w:rsidRPr="004A2B55">
        <w:rPr>
          <w:rFonts w:cs="Arial"/>
        </w:rPr>
        <w:t xml:space="preserve">through </w:t>
      </w:r>
      <w:r w:rsidR="00D44257" w:rsidRPr="004A2B55">
        <w:rPr>
          <w:rFonts w:cs="Arial"/>
          <w:i/>
        </w:rPr>
        <w:t>decile-linked funding</w:t>
      </w:r>
      <w:r w:rsidR="00D44257" w:rsidRPr="004A2B55">
        <w:rPr>
          <w:rFonts w:cs="Arial"/>
        </w:rPr>
        <w:t xml:space="preserve"> </w:t>
      </w:r>
      <w:r w:rsidR="009B2CBE" w:rsidRPr="004A2B55">
        <w:rPr>
          <w:rFonts w:cs="Arial"/>
        </w:rPr>
        <w:t xml:space="preserve">to enable </w:t>
      </w:r>
      <w:r w:rsidR="00D44257" w:rsidRPr="004A2B55">
        <w:rPr>
          <w:rFonts w:cs="Arial"/>
        </w:rPr>
        <w:t xml:space="preserve">them </w:t>
      </w:r>
      <w:r w:rsidR="009B2CBE" w:rsidRPr="004A2B55">
        <w:rPr>
          <w:rFonts w:cs="Arial"/>
        </w:rPr>
        <w:t>to overcome the barriers to learning faced by children and young people from low socioeconomic communities.</w:t>
      </w:r>
    </w:p>
    <w:p w:rsidR="008A2385" w:rsidRPr="004A2B55" w:rsidRDefault="008A2385" w:rsidP="008A2385">
      <w:pPr>
        <w:jc w:val="both"/>
        <w:rPr>
          <w:rFonts w:cs="Arial"/>
        </w:rPr>
      </w:pPr>
    </w:p>
    <w:p w:rsidR="0063085A" w:rsidRDefault="0063085A" w:rsidP="008A2385">
      <w:pPr>
        <w:jc w:val="both"/>
        <w:rPr>
          <w:rFonts w:cs="Arial"/>
        </w:rPr>
      </w:pPr>
      <w:r w:rsidRPr="004A2B55">
        <w:rPr>
          <w:rFonts w:cs="Arial"/>
        </w:rPr>
        <w:t>An almost identical basis is used to support ECE services, although in the ECE sector the deciles are referred as an Equity Index (EQI).</w:t>
      </w:r>
    </w:p>
    <w:p w:rsidR="00096EB8" w:rsidRPr="004A2B55" w:rsidRDefault="00096EB8" w:rsidP="008A2385">
      <w:pPr>
        <w:jc w:val="both"/>
        <w:rPr>
          <w:rFonts w:cs="Arial"/>
        </w:rPr>
      </w:pPr>
    </w:p>
    <w:p w:rsidR="00F81DDA" w:rsidRDefault="0063085A" w:rsidP="008A2385">
      <w:pPr>
        <w:jc w:val="both"/>
        <w:rPr>
          <w:rFonts w:cs="Arial"/>
        </w:rPr>
      </w:pPr>
      <w:r w:rsidRPr="004A2B55">
        <w:rPr>
          <w:rFonts w:cs="Arial"/>
        </w:rPr>
        <w:t>A decile or EQI</w:t>
      </w:r>
      <w:r w:rsidR="007774D6" w:rsidRPr="004A2B55">
        <w:rPr>
          <w:rFonts w:cs="Arial"/>
        </w:rPr>
        <w:t xml:space="preserve"> </w:t>
      </w:r>
      <w:r w:rsidR="00C80423" w:rsidRPr="004A2B55">
        <w:rPr>
          <w:rFonts w:cs="Arial"/>
        </w:rPr>
        <w:t xml:space="preserve">rating </w:t>
      </w:r>
      <w:r w:rsidR="007774D6" w:rsidRPr="004A2B55">
        <w:rPr>
          <w:rFonts w:cs="Arial"/>
        </w:rPr>
        <w:t>reflect</w:t>
      </w:r>
      <w:r w:rsidR="00C80423" w:rsidRPr="004A2B55">
        <w:rPr>
          <w:rFonts w:cs="Arial"/>
        </w:rPr>
        <w:t>s</w:t>
      </w:r>
      <w:r w:rsidR="007774D6" w:rsidRPr="004A2B55">
        <w:rPr>
          <w:rFonts w:cs="Arial"/>
        </w:rPr>
        <w:t xml:space="preserve"> the </w:t>
      </w:r>
      <w:r w:rsidR="002D57B7" w:rsidRPr="004A2B55">
        <w:rPr>
          <w:rFonts w:cs="Arial"/>
        </w:rPr>
        <w:t>incidence</w:t>
      </w:r>
      <w:r w:rsidR="007774D6" w:rsidRPr="004A2B55">
        <w:rPr>
          <w:rFonts w:cs="Arial"/>
        </w:rPr>
        <w:t xml:space="preserve"> </w:t>
      </w:r>
      <w:r w:rsidR="009F7562" w:rsidRPr="004A2B55">
        <w:rPr>
          <w:rFonts w:cs="Arial"/>
        </w:rPr>
        <w:t xml:space="preserve">in a service or school </w:t>
      </w:r>
      <w:r w:rsidR="007774D6" w:rsidRPr="004A2B55">
        <w:rPr>
          <w:rFonts w:cs="Arial"/>
        </w:rPr>
        <w:t xml:space="preserve">of children </w:t>
      </w:r>
      <w:r w:rsidR="002D57B7" w:rsidRPr="004A2B55">
        <w:rPr>
          <w:rFonts w:cs="Arial"/>
        </w:rPr>
        <w:t xml:space="preserve">and young people </w:t>
      </w:r>
      <w:r w:rsidR="009F7562" w:rsidRPr="004A2B55">
        <w:rPr>
          <w:rFonts w:cs="Arial"/>
        </w:rPr>
        <w:t>from low socioeconomic communities</w:t>
      </w:r>
      <w:r w:rsidR="0028286C" w:rsidRPr="004A2B55">
        <w:rPr>
          <w:rFonts w:cs="Arial"/>
        </w:rPr>
        <w:t xml:space="preserve">, </w:t>
      </w:r>
      <w:r w:rsidR="007774D6" w:rsidRPr="004A2B55">
        <w:rPr>
          <w:rFonts w:cs="Arial"/>
        </w:rPr>
        <w:t>compared to other services</w:t>
      </w:r>
      <w:r w:rsidR="0028286C" w:rsidRPr="004A2B55">
        <w:rPr>
          <w:rFonts w:cs="Arial"/>
        </w:rPr>
        <w:t xml:space="preserve"> and schools</w:t>
      </w:r>
      <w:r w:rsidR="007774D6" w:rsidRPr="004A2B55">
        <w:rPr>
          <w:rFonts w:cs="Arial"/>
        </w:rPr>
        <w:t>.</w:t>
      </w:r>
      <w:r w:rsidR="00BD31E5">
        <w:rPr>
          <w:rStyle w:val="FootnoteReference"/>
          <w:rFonts w:cs="Arial"/>
        </w:rPr>
        <w:footnoteReference w:id="1"/>
      </w:r>
      <w:r w:rsidR="007774D6" w:rsidRPr="004A2B55">
        <w:rPr>
          <w:rFonts w:cs="Arial"/>
        </w:rPr>
        <w:t xml:space="preserve"> The rating is calcula</w:t>
      </w:r>
      <w:r w:rsidR="0028286C" w:rsidRPr="004A2B55">
        <w:rPr>
          <w:rFonts w:cs="Arial"/>
        </w:rPr>
        <w:t xml:space="preserve">ted based on </w:t>
      </w:r>
      <w:r w:rsidR="0007745B" w:rsidRPr="004A2B55">
        <w:rPr>
          <w:rFonts w:cs="Arial"/>
        </w:rPr>
        <w:t>demographic information</w:t>
      </w:r>
      <w:r w:rsidR="007774D6" w:rsidRPr="004A2B55">
        <w:rPr>
          <w:rFonts w:cs="Arial"/>
        </w:rPr>
        <w:t xml:space="preserve"> </w:t>
      </w:r>
      <w:r w:rsidR="0007745B" w:rsidRPr="004A2B55">
        <w:rPr>
          <w:rFonts w:cs="Arial"/>
        </w:rPr>
        <w:t xml:space="preserve">about </w:t>
      </w:r>
      <w:r w:rsidR="007774D6" w:rsidRPr="004A2B55">
        <w:rPr>
          <w:rFonts w:cs="Arial"/>
        </w:rPr>
        <w:t>the meshblocks in which a</w:t>
      </w:r>
      <w:r w:rsidR="0007745B" w:rsidRPr="004A2B55">
        <w:rPr>
          <w:rFonts w:cs="Arial"/>
        </w:rPr>
        <w:t>n</w:t>
      </w:r>
      <w:r w:rsidR="007774D6" w:rsidRPr="004A2B55">
        <w:rPr>
          <w:rFonts w:cs="Arial"/>
        </w:rPr>
        <w:t xml:space="preserve"> ECE se</w:t>
      </w:r>
      <w:r w:rsidR="00F81DDA" w:rsidRPr="004A2B55">
        <w:rPr>
          <w:rFonts w:cs="Arial"/>
        </w:rPr>
        <w:t>rvice or school’s children live. Use of Census meshblocks tells us about the characteristics of the communities that children and young people live in, rather than their own actual circumstance.</w:t>
      </w:r>
    </w:p>
    <w:p w:rsidR="008A2385" w:rsidRPr="004A2B55" w:rsidRDefault="008A2385" w:rsidP="008A2385">
      <w:pPr>
        <w:jc w:val="both"/>
        <w:rPr>
          <w:rFonts w:cs="Arial"/>
        </w:rPr>
      </w:pPr>
    </w:p>
    <w:p w:rsidR="007774D6" w:rsidRDefault="0007745B" w:rsidP="008A2385">
      <w:pPr>
        <w:jc w:val="both"/>
        <w:rPr>
          <w:rFonts w:cs="Arial"/>
        </w:rPr>
      </w:pPr>
      <w:r w:rsidRPr="004A2B55">
        <w:rPr>
          <w:rFonts w:cs="Arial"/>
        </w:rPr>
        <w:t xml:space="preserve">The socioeconomic status of the meshblocks is estimated using five Census variables. These are </w:t>
      </w:r>
      <w:r w:rsidR="007774D6" w:rsidRPr="004A2B55">
        <w:rPr>
          <w:rFonts w:cs="Arial"/>
        </w:rPr>
        <w:t xml:space="preserve">the proportion </w:t>
      </w:r>
      <w:r w:rsidR="0028286C" w:rsidRPr="004A2B55">
        <w:rPr>
          <w:rFonts w:cs="Arial"/>
        </w:rPr>
        <w:t>of households with either preschool or school-aged children with</w:t>
      </w:r>
      <w:r w:rsidR="007774D6" w:rsidRPr="004A2B55">
        <w:rPr>
          <w:rFonts w:cs="Arial"/>
        </w:rPr>
        <w:t>:</w:t>
      </w:r>
    </w:p>
    <w:p w:rsidR="008A2385" w:rsidRPr="004A2B55" w:rsidRDefault="008A2385" w:rsidP="008A2385">
      <w:pPr>
        <w:jc w:val="both"/>
        <w:rPr>
          <w:rFonts w:cs="Arial"/>
        </w:rPr>
      </w:pPr>
    </w:p>
    <w:p w:rsidR="007774D6" w:rsidRDefault="009F7562" w:rsidP="008A2385">
      <w:pPr>
        <w:pStyle w:val="ListParagraph"/>
        <w:numPr>
          <w:ilvl w:val="0"/>
          <w:numId w:val="14"/>
        </w:numPr>
        <w:jc w:val="both"/>
        <w:rPr>
          <w:rFonts w:cs="Arial"/>
        </w:rPr>
      </w:pPr>
      <w:r>
        <w:rPr>
          <w:rFonts w:cs="Arial"/>
        </w:rPr>
        <w:t xml:space="preserve">caregivers </w:t>
      </w:r>
      <w:r w:rsidR="001B73DA">
        <w:rPr>
          <w:rFonts w:cs="Arial"/>
        </w:rPr>
        <w:t xml:space="preserve">who </w:t>
      </w:r>
      <w:r>
        <w:rPr>
          <w:rFonts w:cs="Arial"/>
        </w:rPr>
        <w:t>receiv</w:t>
      </w:r>
      <w:r w:rsidR="001B73DA">
        <w:rPr>
          <w:rFonts w:cs="Arial"/>
        </w:rPr>
        <w:t>ed</w:t>
      </w:r>
      <w:r>
        <w:rPr>
          <w:rFonts w:cs="Arial"/>
        </w:rPr>
        <w:t xml:space="preserve"> an income support</w:t>
      </w:r>
      <w:r w:rsidR="007774D6" w:rsidRPr="007774D6">
        <w:rPr>
          <w:rFonts w:cs="Arial"/>
        </w:rPr>
        <w:t xml:space="preserve"> benefit</w:t>
      </w:r>
      <w:r>
        <w:rPr>
          <w:rFonts w:cs="Arial"/>
        </w:rPr>
        <w:t xml:space="preserve"> </w:t>
      </w:r>
      <w:r w:rsidR="001B73DA">
        <w:rPr>
          <w:rFonts w:cs="Arial"/>
        </w:rPr>
        <w:t>in the previous year</w:t>
      </w:r>
    </w:p>
    <w:p w:rsidR="008A2385" w:rsidRPr="007774D6" w:rsidRDefault="008A2385" w:rsidP="008A2385">
      <w:pPr>
        <w:pStyle w:val="ListParagraph"/>
        <w:jc w:val="both"/>
        <w:rPr>
          <w:rFonts w:cs="Arial"/>
        </w:rPr>
      </w:pPr>
    </w:p>
    <w:p w:rsidR="007774D6" w:rsidRDefault="009F7562" w:rsidP="008A2385">
      <w:pPr>
        <w:pStyle w:val="ListParagraph"/>
        <w:numPr>
          <w:ilvl w:val="0"/>
          <w:numId w:val="14"/>
        </w:numPr>
        <w:jc w:val="both"/>
        <w:rPr>
          <w:rFonts w:cs="Arial"/>
        </w:rPr>
      </w:pPr>
      <w:r>
        <w:rPr>
          <w:rFonts w:cs="Arial"/>
        </w:rPr>
        <w:t>caregivers in the lowest skill level</w:t>
      </w:r>
      <w:r w:rsidR="007774D6" w:rsidRPr="007774D6">
        <w:rPr>
          <w:rFonts w:cs="Arial"/>
        </w:rPr>
        <w:t xml:space="preserve"> occupations</w:t>
      </w:r>
      <w:r w:rsidR="001B73DA">
        <w:rPr>
          <w:rFonts w:cs="Arial"/>
        </w:rPr>
        <w:t xml:space="preserve"> (e.g. </w:t>
      </w:r>
      <w:r w:rsidR="001B73DA" w:rsidRPr="001B73DA">
        <w:rPr>
          <w:rFonts w:cs="Arial"/>
        </w:rPr>
        <w:t xml:space="preserve">labourers, </w:t>
      </w:r>
      <w:r w:rsidR="001B73DA">
        <w:rPr>
          <w:rFonts w:cs="Arial"/>
        </w:rPr>
        <w:t xml:space="preserve">machine operators, </w:t>
      </w:r>
      <w:r w:rsidR="001B73DA" w:rsidRPr="001B73DA">
        <w:rPr>
          <w:rFonts w:cs="Arial"/>
        </w:rPr>
        <w:t>assemblers</w:t>
      </w:r>
      <w:r w:rsidR="001B73DA">
        <w:rPr>
          <w:rFonts w:cs="Arial"/>
        </w:rPr>
        <w:t>)</w:t>
      </w:r>
    </w:p>
    <w:p w:rsidR="008A2385" w:rsidRPr="008A2385" w:rsidRDefault="008A2385" w:rsidP="008A2385">
      <w:pPr>
        <w:jc w:val="both"/>
        <w:rPr>
          <w:rFonts w:cs="Arial"/>
        </w:rPr>
      </w:pPr>
    </w:p>
    <w:p w:rsidR="007774D6" w:rsidRDefault="007774D6" w:rsidP="008A2385">
      <w:pPr>
        <w:pStyle w:val="ListParagraph"/>
        <w:numPr>
          <w:ilvl w:val="0"/>
          <w:numId w:val="14"/>
        </w:numPr>
        <w:jc w:val="both"/>
        <w:rPr>
          <w:rFonts w:cs="Arial"/>
        </w:rPr>
      </w:pPr>
      <w:r w:rsidRPr="007774D6">
        <w:rPr>
          <w:rFonts w:cs="Arial"/>
        </w:rPr>
        <w:t>households with the lowest quintile of (</w:t>
      </w:r>
      <w:proofErr w:type="spellStart"/>
      <w:r w:rsidRPr="007774D6">
        <w:rPr>
          <w:rFonts w:cs="Arial"/>
        </w:rPr>
        <w:t>equivalised</w:t>
      </w:r>
      <w:proofErr w:type="spellEnd"/>
      <w:r w:rsidRPr="007774D6">
        <w:rPr>
          <w:rFonts w:cs="Arial"/>
        </w:rPr>
        <w:t>) household income</w:t>
      </w:r>
      <w:r w:rsidR="001B73DA">
        <w:rPr>
          <w:rFonts w:cs="Arial"/>
        </w:rPr>
        <w:t xml:space="preserve"> (excluding benefit income)</w:t>
      </w:r>
    </w:p>
    <w:p w:rsidR="008A2385" w:rsidRPr="008A2385" w:rsidRDefault="008A2385" w:rsidP="008A2385">
      <w:pPr>
        <w:jc w:val="both"/>
        <w:rPr>
          <w:rFonts w:cs="Arial"/>
        </w:rPr>
      </w:pPr>
    </w:p>
    <w:p w:rsidR="007774D6" w:rsidRDefault="007774D6" w:rsidP="008A2385">
      <w:pPr>
        <w:pStyle w:val="ListParagraph"/>
        <w:numPr>
          <w:ilvl w:val="0"/>
          <w:numId w:val="14"/>
        </w:numPr>
        <w:jc w:val="both"/>
        <w:rPr>
          <w:rFonts w:cs="Arial"/>
        </w:rPr>
      </w:pPr>
      <w:r w:rsidRPr="007774D6">
        <w:rPr>
          <w:rFonts w:cs="Arial"/>
        </w:rPr>
        <w:t xml:space="preserve">households </w:t>
      </w:r>
      <w:r w:rsidR="009F7562">
        <w:rPr>
          <w:rFonts w:cs="Arial"/>
        </w:rPr>
        <w:t>where people aged 10+</w:t>
      </w:r>
      <w:r w:rsidR="001B73DA">
        <w:rPr>
          <w:rFonts w:cs="Arial"/>
        </w:rPr>
        <w:t xml:space="preserve"> (other than couples) share a room (defined as</w:t>
      </w:r>
      <w:r w:rsidRPr="007774D6">
        <w:rPr>
          <w:rFonts w:cs="Arial"/>
        </w:rPr>
        <w:t xml:space="preserve"> </w:t>
      </w:r>
      <w:r w:rsidR="001B73DA">
        <w:rPr>
          <w:rFonts w:cs="Arial"/>
        </w:rPr>
        <w:t>‘</w:t>
      </w:r>
      <w:r w:rsidRPr="007774D6">
        <w:rPr>
          <w:rFonts w:cs="Arial"/>
        </w:rPr>
        <w:t>crowd</w:t>
      </w:r>
      <w:r w:rsidR="001B73DA">
        <w:rPr>
          <w:rFonts w:cs="Arial"/>
        </w:rPr>
        <w:t>ed’</w:t>
      </w:r>
      <w:r w:rsidRPr="007774D6">
        <w:rPr>
          <w:rFonts w:cs="Arial"/>
        </w:rPr>
        <w:t>)</w:t>
      </w:r>
    </w:p>
    <w:p w:rsidR="008A2385" w:rsidRPr="008A2385" w:rsidRDefault="008A2385" w:rsidP="008A2385">
      <w:pPr>
        <w:jc w:val="both"/>
        <w:rPr>
          <w:rFonts w:cs="Arial"/>
        </w:rPr>
      </w:pPr>
    </w:p>
    <w:p w:rsidR="007774D6" w:rsidRDefault="007774D6" w:rsidP="008A2385">
      <w:pPr>
        <w:pStyle w:val="ListParagraph"/>
        <w:numPr>
          <w:ilvl w:val="0"/>
          <w:numId w:val="14"/>
        </w:numPr>
        <w:jc w:val="both"/>
        <w:rPr>
          <w:rFonts w:cs="Arial"/>
        </w:rPr>
      </w:pPr>
      <w:proofErr w:type="gramStart"/>
      <w:r w:rsidRPr="007774D6">
        <w:rPr>
          <w:rFonts w:cs="Arial"/>
        </w:rPr>
        <w:t>caregivers</w:t>
      </w:r>
      <w:proofErr w:type="gramEnd"/>
      <w:r w:rsidRPr="007774D6">
        <w:rPr>
          <w:rFonts w:cs="Arial"/>
        </w:rPr>
        <w:t xml:space="preserve"> with no </w:t>
      </w:r>
      <w:r w:rsidR="001B73DA">
        <w:rPr>
          <w:rFonts w:cs="Arial"/>
        </w:rPr>
        <w:t xml:space="preserve">tertiary or school </w:t>
      </w:r>
      <w:r w:rsidRPr="007774D6">
        <w:rPr>
          <w:rFonts w:cs="Arial"/>
        </w:rPr>
        <w:t>qualification</w:t>
      </w:r>
      <w:r w:rsidR="001B73DA">
        <w:rPr>
          <w:rFonts w:cs="Arial"/>
        </w:rPr>
        <w:t>s</w:t>
      </w:r>
      <w:r w:rsidRPr="007774D6">
        <w:rPr>
          <w:rFonts w:cs="Arial"/>
        </w:rPr>
        <w:t>.</w:t>
      </w:r>
    </w:p>
    <w:p w:rsidR="008A2385" w:rsidRPr="007774D6" w:rsidRDefault="008A2385" w:rsidP="008A2385">
      <w:pPr>
        <w:pStyle w:val="ListParagraph"/>
        <w:jc w:val="both"/>
        <w:rPr>
          <w:rFonts w:cs="Arial"/>
        </w:rPr>
      </w:pPr>
    </w:p>
    <w:p w:rsidR="007774D6" w:rsidRDefault="007774D6" w:rsidP="008A2385">
      <w:pPr>
        <w:jc w:val="both"/>
        <w:rPr>
          <w:rFonts w:cs="Arial"/>
        </w:rPr>
      </w:pPr>
      <w:r w:rsidRPr="004A2B55">
        <w:rPr>
          <w:rFonts w:cs="Arial"/>
        </w:rPr>
        <w:t xml:space="preserve">ECE services and schools are first ranked on each variable. Then rankings are combined, and schools or ECE services are </w:t>
      </w:r>
      <w:r w:rsidR="005E3442" w:rsidRPr="004A2B55">
        <w:rPr>
          <w:rFonts w:cs="Arial"/>
        </w:rPr>
        <w:t>ranked</w:t>
      </w:r>
      <w:r w:rsidRPr="004A2B55">
        <w:rPr>
          <w:rFonts w:cs="Arial"/>
        </w:rPr>
        <w:t xml:space="preserve"> into ten equally-sized groups, from </w:t>
      </w:r>
      <w:r w:rsidR="00D44257" w:rsidRPr="004A2B55">
        <w:rPr>
          <w:rFonts w:cs="Arial"/>
        </w:rPr>
        <w:t xml:space="preserve">highest risk </w:t>
      </w:r>
      <w:r w:rsidRPr="004A2B55">
        <w:rPr>
          <w:rFonts w:cs="Arial"/>
        </w:rPr>
        <w:t xml:space="preserve">(decile 1) to least </w:t>
      </w:r>
      <w:r w:rsidR="00D44257" w:rsidRPr="004A2B55">
        <w:rPr>
          <w:rFonts w:cs="Arial"/>
        </w:rPr>
        <w:t>risk</w:t>
      </w:r>
      <w:r w:rsidRPr="004A2B55">
        <w:rPr>
          <w:rFonts w:cs="Arial"/>
        </w:rPr>
        <w:t xml:space="preserve"> (decile 10). For schools there is a further division of the bottom four deciles into three </w:t>
      </w:r>
      <w:r w:rsidR="00542441">
        <w:rPr>
          <w:rFonts w:cs="Arial"/>
        </w:rPr>
        <w:t>funding steps</w:t>
      </w:r>
      <w:r w:rsidRPr="004A2B55">
        <w:rPr>
          <w:rFonts w:cs="Arial"/>
        </w:rPr>
        <w:t xml:space="preserve"> labelled w</w:t>
      </w:r>
      <w:r w:rsidR="00E7226B" w:rsidRPr="004A2B55">
        <w:rPr>
          <w:rFonts w:cs="Arial"/>
        </w:rPr>
        <w:t>ith letters (1A, 1B, 1C, 2D, 2E</w:t>
      </w:r>
      <w:r w:rsidRPr="004A2B55">
        <w:rPr>
          <w:rFonts w:cs="Arial"/>
        </w:rPr>
        <w:t xml:space="preserve"> .</w:t>
      </w:r>
      <w:r w:rsidR="00E7226B" w:rsidRPr="004A2B55">
        <w:rPr>
          <w:rFonts w:cs="Arial"/>
        </w:rPr>
        <w:t xml:space="preserve"> </w:t>
      </w:r>
      <w:r w:rsidRPr="004A2B55">
        <w:rPr>
          <w:rFonts w:cs="Arial"/>
        </w:rPr>
        <w:t>.</w:t>
      </w:r>
      <w:r w:rsidR="00E7226B" w:rsidRPr="004A2B55">
        <w:rPr>
          <w:rFonts w:cs="Arial"/>
        </w:rPr>
        <w:t xml:space="preserve"> </w:t>
      </w:r>
      <w:r w:rsidRPr="004A2B55">
        <w:rPr>
          <w:rFonts w:cs="Arial"/>
        </w:rPr>
        <w:t xml:space="preserve">.). </w:t>
      </w:r>
    </w:p>
    <w:p w:rsidR="008A2385" w:rsidRPr="004A2B55" w:rsidRDefault="008A2385" w:rsidP="008A2385">
      <w:pPr>
        <w:jc w:val="both"/>
        <w:rPr>
          <w:rFonts w:cs="Arial"/>
        </w:rPr>
      </w:pPr>
    </w:p>
    <w:p w:rsidR="00D1498D" w:rsidRDefault="002C24E3" w:rsidP="008A2385">
      <w:pPr>
        <w:jc w:val="both"/>
        <w:rPr>
          <w:rFonts w:cs="Arial"/>
        </w:rPr>
      </w:pPr>
      <w:r w:rsidRPr="004A2B55">
        <w:rPr>
          <w:rFonts w:cs="Arial"/>
        </w:rPr>
        <w:t xml:space="preserve">While decile classifications </w:t>
      </w:r>
      <w:r w:rsidR="00527F47">
        <w:rPr>
          <w:rFonts w:cs="Arial"/>
        </w:rPr>
        <w:t>are</w:t>
      </w:r>
      <w:r w:rsidRPr="004A2B55">
        <w:rPr>
          <w:rFonts w:cs="Arial"/>
        </w:rPr>
        <w:t xml:space="preserve"> used for a variety of </w:t>
      </w:r>
      <w:r w:rsidR="00D44257" w:rsidRPr="004A2B55">
        <w:rPr>
          <w:rFonts w:cs="Arial"/>
        </w:rPr>
        <w:t>other</w:t>
      </w:r>
      <w:r w:rsidR="00FB5F0B" w:rsidRPr="004A2B55">
        <w:rPr>
          <w:rFonts w:cs="Arial"/>
        </w:rPr>
        <w:t xml:space="preserve"> purposes, the focus in this paper is on the main decile-linked funding streams for each sector:</w:t>
      </w:r>
      <w:r w:rsidR="00FB5F0B" w:rsidRPr="004A2B55">
        <w:rPr>
          <w:rFonts w:cs="Arial"/>
          <w:i/>
        </w:rPr>
        <w:t xml:space="preserve"> ECE Equity Funding Component A </w:t>
      </w:r>
      <w:r w:rsidR="00FB5F0B" w:rsidRPr="004A2B55">
        <w:rPr>
          <w:rFonts w:cs="Arial"/>
        </w:rPr>
        <w:t>for ECE services ($28m in 2014/15)</w:t>
      </w:r>
      <w:r w:rsidR="006D1CD7">
        <w:rPr>
          <w:rFonts w:cs="Arial"/>
        </w:rPr>
        <w:t>;</w:t>
      </w:r>
      <w:r w:rsidR="00FB5F0B" w:rsidRPr="004A2B55">
        <w:rPr>
          <w:rFonts w:cs="Arial"/>
        </w:rPr>
        <w:t xml:space="preserve"> and</w:t>
      </w:r>
      <w:r w:rsidR="001B73DA" w:rsidRPr="004A2B55">
        <w:rPr>
          <w:rFonts w:cs="Arial"/>
        </w:rPr>
        <w:t xml:space="preserve"> the</w:t>
      </w:r>
      <w:r w:rsidR="00FB5F0B" w:rsidRPr="004A2B55">
        <w:rPr>
          <w:rFonts w:cs="Arial"/>
          <w:i/>
        </w:rPr>
        <w:t xml:space="preserve"> Targeted Funding for </w:t>
      </w:r>
      <w:r w:rsidR="00F06600" w:rsidRPr="004A2B55">
        <w:rPr>
          <w:rFonts w:cs="Arial"/>
          <w:i/>
        </w:rPr>
        <w:t>Educational</w:t>
      </w:r>
      <w:r w:rsidR="00961871" w:rsidRPr="004A2B55">
        <w:rPr>
          <w:rFonts w:cs="Arial"/>
          <w:i/>
        </w:rPr>
        <w:t xml:space="preserve"> </w:t>
      </w:r>
      <w:r w:rsidR="00FB5F0B" w:rsidRPr="004A2B55">
        <w:rPr>
          <w:rFonts w:cs="Arial"/>
          <w:i/>
        </w:rPr>
        <w:t xml:space="preserve">Achievement (TFEA) </w:t>
      </w:r>
      <w:r w:rsidR="001B73DA" w:rsidRPr="004A2B55">
        <w:rPr>
          <w:rFonts w:cs="Arial"/>
        </w:rPr>
        <w:t>and</w:t>
      </w:r>
      <w:r w:rsidR="001B73DA" w:rsidRPr="004A2B55">
        <w:rPr>
          <w:rFonts w:cs="Arial"/>
          <w:i/>
        </w:rPr>
        <w:t xml:space="preserve"> Careers Information Grant</w:t>
      </w:r>
      <w:r w:rsidR="004C48A9" w:rsidRPr="004A2B55">
        <w:rPr>
          <w:rFonts w:cs="Arial"/>
          <w:i/>
        </w:rPr>
        <w:t xml:space="preserve"> (CIG)</w:t>
      </w:r>
      <w:r w:rsidR="001B73DA" w:rsidRPr="004A2B55">
        <w:rPr>
          <w:rFonts w:cs="Arial"/>
          <w:i/>
        </w:rPr>
        <w:t xml:space="preserve"> </w:t>
      </w:r>
      <w:r w:rsidR="00FB5F0B" w:rsidRPr="004A2B55">
        <w:rPr>
          <w:rFonts w:cs="Arial"/>
        </w:rPr>
        <w:t>for schools (</w:t>
      </w:r>
      <w:r w:rsidR="001B73DA" w:rsidRPr="004A2B55">
        <w:rPr>
          <w:rFonts w:cs="Arial"/>
        </w:rPr>
        <w:t>$119</w:t>
      </w:r>
      <w:r w:rsidR="00FB5F0B" w:rsidRPr="004A2B55">
        <w:rPr>
          <w:rFonts w:cs="Arial"/>
        </w:rPr>
        <w:t>m in 2014/15)</w:t>
      </w:r>
      <w:r w:rsidR="005E0001" w:rsidRPr="004A2B55">
        <w:rPr>
          <w:rFonts w:cs="Arial"/>
        </w:rPr>
        <w:t>.</w:t>
      </w:r>
      <w:r w:rsidR="005E0001">
        <w:rPr>
          <w:rStyle w:val="FootnoteReference"/>
          <w:rFonts w:cs="Arial"/>
        </w:rPr>
        <w:footnoteReference w:id="2"/>
      </w:r>
      <w:r w:rsidR="00F06600" w:rsidRPr="004A2B55">
        <w:rPr>
          <w:rFonts w:cs="Arial"/>
        </w:rPr>
        <w:t xml:space="preserve"> </w:t>
      </w:r>
    </w:p>
    <w:p w:rsidR="00D1498D" w:rsidRDefault="00D1498D" w:rsidP="008A2385">
      <w:pPr>
        <w:jc w:val="both"/>
        <w:rPr>
          <w:rFonts w:cs="Arial"/>
        </w:rPr>
      </w:pPr>
    </w:p>
    <w:p w:rsidR="005E0001" w:rsidRDefault="00F06600" w:rsidP="008A2385">
      <w:pPr>
        <w:jc w:val="both"/>
        <w:rPr>
          <w:rFonts w:cs="Arial"/>
        </w:rPr>
      </w:pPr>
      <w:r w:rsidRPr="004A2B55">
        <w:rPr>
          <w:rFonts w:cs="Arial"/>
        </w:rPr>
        <w:t>Equity Funding Component A only goes to decile 1</w:t>
      </w:r>
      <w:r w:rsidR="00542441">
        <w:rPr>
          <w:rFonts w:cs="Arial"/>
        </w:rPr>
        <w:t xml:space="preserve"> to </w:t>
      </w:r>
      <w:r w:rsidRPr="004A2B55">
        <w:rPr>
          <w:rFonts w:cs="Arial"/>
        </w:rPr>
        <w:t>4 ECE services, while in the school sector decile 10 schools receive no TFEA funding (though they do receive CIG funding</w:t>
      </w:r>
      <w:r w:rsidR="006D1CD7">
        <w:rPr>
          <w:rFonts w:cs="Arial"/>
        </w:rPr>
        <w:t>)</w:t>
      </w:r>
      <w:r w:rsidR="00961871" w:rsidRPr="004A2B55">
        <w:rPr>
          <w:rFonts w:cs="Arial"/>
        </w:rPr>
        <w:t>.</w:t>
      </w:r>
    </w:p>
    <w:p w:rsidR="008A2385" w:rsidRPr="004A2B55" w:rsidRDefault="008A2385" w:rsidP="008A2385">
      <w:pPr>
        <w:jc w:val="both"/>
        <w:rPr>
          <w:rFonts w:cs="Arial"/>
        </w:rPr>
      </w:pPr>
    </w:p>
    <w:p w:rsidR="00D1498D" w:rsidRDefault="002D57B7" w:rsidP="008A2385">
      <w:pPr>
        <w:jc w:val="both"/>
        <w:rPr>
          <w:rFonts w:cs="Arial"/>
        </w:rPr>
      </w:pPr>
      <w:r w:rsidRPr="004A2B55">
        <w:rPr>
          <w:rFonts w:cs="Arial"/>
        </w:rPr>
        <w:t>The</w:t>
      </w:r>
      <w:r w:rsidR="00D44257" w:rsidRPr="004A2B55">
        <w:rPr>
          <w:rFonts w:cs="Arial"/>
        </w:rPr>
        <w:t>s</w:t>
      </w:r>
      <w:r w:rsidRPr="004A2B55">
        <w:rPr>
          <w:rFonts w:cs="Arial"/>
        </w:rPr>
        <w:t>e</w:t>
      </w:r>
      <w:r w:rsidR="00D44257" w:rsidRPr="004A2B55">
        <w:rPr>
          <w:rFonts w:cs="Arial"/>
        </w:rPr>
        <w:t xml:space="preserve"> fund</w:t>
      </w:r>
      <w:r w:rsidRPr="004A2B55">
        <w:rPr>
          <w:rFonts w:cs="Arial"/>
        </w:rPr>
        <w:t>ing stream</w:t>
      </w:r>
      <w:r w:rsidR="00D44257" w:rsidRPr="004A2B55">
        <w:rPr>
          <w:rFonts w:cs="Arial"/>
        </w:rPr>
        <w:t>s</w:t>
      </w:r>
      <w:r w:rsidRPr="004A2B55">
        <w:rPr>
          <w:rFonts w:cs="Arial"/>
        </w:rPr>
        <w:t xml:space="preserve"> account</w:t>
      </w:r>
      <w:r w:rsidR="00FB5F0B" w:rsidRPr="004A2B55">
        <w:rPr>
          <w:rFonts w:cs="Arial"/>
        </w:rPr>
        <w:t xml:space="preserve"> for a similar proportion of overall funding for ECE and schools, at about 2-3%</w:t>
      </w:r>
      <w:r w:rsidR="00961871" w:rsidRPr="004A2B55">
        <w:rPr>
          <w:rFonts w:cs="Arial"/>
        </w:rPr>
        <w:t xml:space="preserve">, as shown in </w:t>
      </w:r>
      <w:fldSimple w:instr=" REF _Ref452044620 \h  \* MERGEFORMAT ">
        <w:r w:rsidR="00D1498D" w:rsidRPr="00D1498D">
          <w:t>Figure 1</w:t>
        </w:r>
      </w:fldSimple>
      <w:r w:rsidR="00961871" w:rsidRPr="004A2B55">
        <w:rPr>
          <w:rFonts w:cs="Arial"/>
        </w:rPr>
        <w:t xml:space="preserve"> </w:t>
      </w:r>
      <w:r w:rsidR="00D1498D">
        <w:rPr>
          <w:rFonts w:cs="Arial"/>
        </w:rPr>
        <w:t>overleaf</w:t>
      </w:r>
      <w:r w:rsidR="00961871" w:rsidRPr="004A2B55">
        <w:rPr>
          <w:rFonts w:cs="Arial"/>
        </w:rPr>
        <w:t>.</w:t>
      </w:r>
      <w:r w:rsidR="00474155" w:rsidRPr="004A2B55">
        <w:rPr>
          <w:rFonts w:cs="Arial"/>
        </w:rPr>
        <w:t xml:space="preserve"> </w:t>
      </w:r>
    </w:p>
    <w:p w:rsidR="00FD7DA7" w:rsidRDefault="00FD7DA7" w:rsidP="008A2385">
      <w:pPr>
        <w:jc w:val="both"/>
        <w:rPr>
          <w:rFonts w:cs="Arial"/>
        </w:rPr>
      </w:pPr>
    </w:p>
    <w:p w:rsidR="00066CD4" w:rsidRDefault="00066CD4" w:rsidP="008A2385">
      <w:pPr>
        <w:jc w:val="both"/>
        <w:rPr>
          <w:rFonts w:cs="Arial"/>
        </w:rPr>
      </w:pPr>
    </w:p>
    <w:p w:rsidR="00500E90" w:rsidRPr="008A2385" w:rsidRDefault="00474155" w:rsidP="00096EB8">
      <w:pPr>
        <w:pStyle w:val="Caption"/>
        <w:jc w:val="center"/>
        <w:rPr>
          <w:rFonts w:ascii="Arial" w:hAnsi="Arial" w:cs="Arial"/>
          <w:color w:val="auto"/>
          <w:sz w:val="20"/>
          <w:szCs w:val="20"/>
        </w:rPr>
      </w:pPr>
      <w:bookmarkStart w:id="4" w:name="_Ref452044620"/>
      <w:bookmarkStart w:id="5" w:name="_Ref451769490"/>
      <w:r w:rsidRPr="008A2385">
        <w:rPr>
          <w:rFonts w:ascii="Arial" w:hAnsi="Arial" w:cs="Arial"/>
          <w:color w:val="auto"/>
          <w:sz w:val="20"/>
          <w:szCs w:val="20"/>
        </w:rPr>
        <w:t xml:space="preserve">Figure </w:t>
      </w:r>
      <w:r w:rsidR="0072202C" w:rsidRPr="008A2385">
        <w:rPr>
          <w:rFonts w:ascii="Arial" w:hAnsi="Arial" w:cs="Arial"/>
          <w:color w:val="auto"/>
          <w:sz w:val="20"/>
          <w:szCs w:val="20"/>
        </w:rPr>
        <w:fldChar w:fldCharType="begin"/>
      </w:r>
      <w:r w:rsidR="000A48E6" w:rsidRPr="008A2385">
        <w:rPr>
          <w:rFonts w:ascii="Arial" w:hAnsi="Arial" w:cs="Arial"/>
          <w:color w:val="auto"/>
          <w:sz w:val="20"/>
          <w:szCs w:val="20"/>
        </w:rPr>
        <w:instrText xml:space="preserve"> SEQ Figure \* ARABIC </w:instrText>
      </w:r>
      <w:r w:rsidR="0072202C" w:rsidRPr="008A2385">
        <w:rPr>
          <w:rFonts w:ascii="Arial" w:hAnsi="Arial" w:cs="Arial"/>
          <w:color w:val="auto"/>
          <w:sz w:val="20"/>
          <w:szCs w:val="20"/>
        </w:rPr>
        <w:fldChar w:fldCharType="separate"/>
      </w:r>
      <w:r w:rsidR="00912CD2">
        <w:rPr>
          <w:rFonts w:ascii="Arial" w:hAnsi="Arial" w:cs="Arial"/>
          <w:noProof/>
          <w:color w:val="auto"/>
          <w:sz w:val="20"/>
          <w:szCs w:val="20"/>
        </w:rPr>
        <w:t>1</w:t>
      </w:r>
      <w:r w:rsidR="0072202C" w:rsidRPr="008A2385">
        <w:rPr>
          <w:rFonts w:ascii="Arial" w:hAnsi="Arial" w:cs="Arial"/>
          <w:color w:val="auto"/>
          <w:sz w:val="20"/>
          <w:szCs w:val="20"/>
        </w:rPr>
        <w:fldChar w:fldCharType="end"/>
      </w:r>
      <w:bookmarkEnd w:id="4"/>
      <w:r w:rsidRPr="008A2385">
        <w:rPr>
          <w:rFonts w:ascii="Arial" w:hAnsi="Arial" w:cs="Arial"/>
          <w:color w:val="auto"/>
          <w:sz w:val="20"/>
          <w:szCs w:val="20"/>
        </w:rPr>
        <w:t xml:space="preserve">  Distribution of ECE and school funding</w:t>
      </w:r>
    </w:p>
    <w:p w:rsidR="00500E90" w:rsidRDefault="000025B5" w:rsidP="00FD7DA7">
      <w:pPr>
        <w:spacing w:after="120"/>
        <w:rPr>
          <w:rFonts w:cs="Arial"/>
        </w:rPr>
      </w:pPr>
      <w:r>
        <w:object w:dxaOrig="7592" w:dyaOrig="5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71pt" o:ole="">
            <v:imagedata r:id="rId12" o:title=""/>
          </v:shape>
          <o:OLEObject Type="Embed" ProgID="Visio.Drawing.11" ShapeID="_x0000_i1025" DrawAspect="Content" ObjectID="_1528277860" r:id="rId13"/>
        </w:object>
      </w:r>
      <w:r w:rsidR="00DC59CA" w:rsidRPr="00DC59CA">
        <w:rPr>
          <w:noProof/>
          <w:lang w:eastAsia="en-NZ"/>
        </w:rPr>
        <w:drawing>
          <wp:inline distT="0" distB="0" distL="0" distR="0">
            <wp:extent cx="3078480" cy="218122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0001" w:rsidRDefault="005E0001" w:rsidP="008A2385">
      <w:pPr>
        <w:jc w:val="both"/>
        <w:rPr>
          <w:rFonts w:cs="Arial"/>
        </w:rPr>
      </w:pPr>
      <w:r>
        <w:t xml:space="preserve">The decile mechanism has </w:t>
      </w:r>
      <w:r w:rsidRPr="004A2B55">
        <w:rPr>
          <w:rFonts w:cs="Arial"/>
        </w:rPr>
        <w:t>some</w:t>
      </w:r>
      <w:r>
        <w:t xml:space="preserve"> strengths.</w:t>
      </w:r>
      <w:r w:rsidRPr="004A2B55">
        <w:rPr>
          <w:rFonts w:cs="Arial"/>
        </w:rPr>
        <w:t xml:space="preserve"> </w:t>
      </w:r>
      <w:r>
        <w:t>T</w:t>
      </w:r>
      <w:r w:rsidRPr="004A2B55">
        <w:rPr>
          <w:rFonts w:cs="Arial"/>
        </w:rPr>
        <w:t xml:space="preserve">he decile calculation is objective and involves minimal discretion. It reflects the significance of the concentration of </w:t>
      </w:r>
      <w:r w:rsidR="00C44FBE" w:rsidRPr="004A2B55">
        <w:rPr>
          <w:rFonts w:cs="Arial"/>
        </w:rPr>
        <w:t xml:space="preserve">children from </w:t>
      </w:r>
      <w:r w:rsidR="002D3AAB" w:rsidRPr="004A2B55">
        <w:rPr>
          <w:rFonts w:cs="Arial"/>
        </w:rPr>
        <w:t xml:space="preserve">low socioeconomic communities </w:t>
      </w:r>
      <w:r w:rsidR="00C44FBE" w:rsidRPr="004A2B55">
        <w:rPr>
          <w:rFonts w:cs="Arial"/>
        </w:rPr>
        <w:t>in an individual service or school</w:t>
      </w:r>
      <w:r w:rsidRPr="004A2B55">
        <w:rPr>
          <w:rFonts w:cs="Arial"/>
        </w:rPr>
        <w:t xml:space="preserve"> (cf. page </w:t>
      </w:r>
      <w:r w:rsidR="0072202C" w:rsidRPr="004A2B55">
        <w:rPr>
          <w:rFonts w:cs="Arial"/>
        </w:rPr>
        <w:fldChar w:fldCharType="begin"/>
      </w:r>
      <w:r w:rsidRPr="004A2B55">
        <w:rPr>
          <w:rFonts w:cs="Arial"/>
        </w:rPr>
        <w:instrText xml:space="preserve"> PAGEREF _Ref449572178 \h </w:instrText>
      </w:r>
      <w:r w:rsidR="0072202C" w:rsidRPr="004A2B55">
        <w:rPr>
          <w:rFonts w:cs="Arial"/>
        </w:rPr>
      </w:r>
      <w:r w:rsidR="0072202C" w:rsidRPr="004A2B55">
        <w:rPr>
          <w:rFonts w:cs="Arial"/>
        </w:rPr>
        <w:fldChar w:fldCharType="separate"/>
      </w:r>
      <w:r w:rsidR="00FD7DA7">
        <w:rPr>
          <w:rFonts w:cs="Arial"/>
          <w:noProof/>
        </w:rPr>
        <w:t>11</w:t>
      </w:r>
      <w:r w:rsidR="0072202C" w:rsidRPr="004A2B55">
        <w:rPr>
          <w:rFonts w:cs="Arial"/>
        </w:rPr>
        <w:fldChar w:fldCharType="end"/>
      </w:r>
      <w:r w:rsidRPr="004A2B55">
        <w:rPr>
          <w:rFonts w:cs="Arial"/>
        </w:rPr>
        <w:t xml:space="preserve">). It </w:t>
      </w:r>
      <w:r w:rsidR="005674FE">
        <w:rPr>
          <w:rFonts w:cs="Arial"/>
        </w:rPr>
        <w:t xml:space="preserve">also </w:t>
      </w:r>
      <w:r w:rsidRPr="004A2B55">
        <w:rPr>
          <w:rFonts w:cs="Arial"/>
        </w:rPr>
        <w:t>has a minimal burden</w:t>
      </w:r>
      <w:r w:rsidR="00A8415A" w:rsidRPr="00A8415A">
        <w:rPr>
          <w:rFonts w:cs="Arial"/>
        </w:rPr>
        <w:t xml:space="preserve"> </w:t>
      </w:r>
      <w:r w:rsidR="00A8415A">
        <w:rPr>
          <w:rFonts w:cs="Arial"/>
        </w:rPr>
        <w:t xml:space="preserve">in terms of data </w:t>
      </w:r>
      <w:r w:rsidR="00A8415A" w:rsidRPr="004A2B55">
        <w:rPr>
          <w:rFonts w:cs="Arial"/>
        </w:rPr>
        <w:t>collection</w:t>
      </w:r>
      <w:r w:rsidRPr="004A2B55">
        <w:rPr>
          <w:rFonts w:cs="Arial"/>
        </w:rPr>
        <w:t>: the only private information required is a child’s address, which is supplied to the Ministry of Education by services and schools.</w:t>
      </w:r>
      <w:bookmarkEnd w:id="5"/>
    </w:p>
    <w:p w:rsidR="008A2385" w:rsidRPr="004A2B55" w:rsidRDefault="008A2385" w:rsidP="008A2385">
      <w:pPr>
        <w:jc w:val="both"/>
        <w:rPr>
          <w:rFonts w:cs="Arial"/>
        </w:rPr>
      </w:pPr>
    </w:p>
    <w:p w:rsidR="005E0001" w:rsidRDefault="005E0001" w:rsidP="008A2385">
      <w:pPr>
        <w:jc w:val="both"/>
        <w:rPr>
          <w:rFonts w:cs="Arial"/>
        </w:rPr>
      </w:pPr>
      <w:r w:rsidRPr="00852CE5">
        <w:rPr>
          <w:rFonts w:cs="Arial"/>
        </w:rPr>
        <w:t xml:space="preserve">On the other hand, it involves assigning risk characteristics to the service or school rather than individual children and young people, and then paying on the basis of all enrolments. This can lead to a misconception that all children and young people in a particular service or school are subject to the same risk of educational under-achievement. </w:t>
      </w:r>
    </w:p>
    <w:p w:rsidR="008A2385" w:rsidRPr="00852CE5" w:rsidRDefault="008A2385" w:rsidP="008A2385">
      <w:pPr>
        <w:jc w:val="both"/>
        <w:rPr>
          <w:rFonts w:cs="Arial"/>
        </w:rPr>
      </w:pPr>
    </w:p>
    <w:p w:rsidR="005E0001" w:rsidRDefault="00081F39" w:rsidP="008A2385">
      <w:pPr>
        <w:jc w:val="both"/>
        <w:rPr>
          <w:rFonts w:cs="Arial"/>
        </w:rPr>
      </w:pPr>
      <w:r>
        <w:rPr>
          <w:rFonts w:cs="Arial"/>
        </w:rPr>
        <w:t>The decile mechanism</w:t>
      </w:r>
      <w:r w:rsidR="005E0001" w:rsidRPr="00852CE5">
        <w:rPr>
          <w:rFonts w:cs="Arial"/>
        </w:rPr>
        <w:t xml:space="preserve"> also creates a single ‘number’ for ECE services and schools. This is misused as a proxy for quality, which has had a stigmatising effect on lower decile schools. It is also used incorrectly as a branding exercise for higher decile schools.</w:t>
      </w:r>
      <w:r w:rsidR="005E0001">
        <w:rPr>
          <w:rStyle w:val="FootnoteReference"/>
          <w:rFonts w:cs="Arial"/>
        </w:rPr>
        <w:footnoteReference w:id="3"/>
      </w:r>
    </w:p>
    <w:p w:rsidR="008A2385" w:rsidRPr="00852CE5" w:rsidRDefault="008A2385" w:rsidP="008A2385">
      <w:pPr>
        <w:jc w:val="both"/>
        <w:rPr>
          <w:rFonts w:cs="Arial"/>
        </w:rPr>
      </w:pPr>
    </w:p>
    <w:p w:rsidR="005E0001" w:rsidRDefault="005E0001" w:rsidP="008A2385">
      <w:pPr>
        <w:jc w:val="both"/>
        <w:rPr>
          <w:rFonts w:cs="Arial"/>
        </w:rPr>
      </w:pPr>
      <w:r w:rsidRPr="00852CE5">
        <w:rPr>
          <w:rFonts w:cs="Arial"/>
        </w:rPr>
        <w:t xml:space="preserve">The decile mechanism </w:t>
      </w:r>
      <w:r w:rsidR="00DF1923" w:rsidRPr="00852CE5">
        <w:rPr>
          <w:rFonts w:cs="Arial"/>
        </w:rPr>
        <w:t xml:space="preserve">can also lead to disruptive changes in funding for individual schools and services when </w:t>
      </w:r>
      <w:r w:rsidR="00D648F5" w:rsidRPr="00852CE5">
        <w:rPr>
          <w:rFonts w:cs="Arial"/>
        </w:rPr>
        <w:t>there is a recalibration after a</w:t>
      </w:r>
      <w:r w:rsidRPr="00852CE5">
        <w:rPr>
          <w:rFonts w:cs="Arial"/>
        </w:rPr>
        <w:t xml:space="preserve"> Census</w:t>
      </w:r>
      <w:r w:rsidR="00DF1923" w:rsidRPr="00852CE5">
        <w:rPr>
          <w:rFonts w:cs="Arial"/>
        </w:rPr>
        <w:t xml:space="preserve">. </w:t>
      </w:r>
      <w:r w:rsidRPr="00852CE5">
        <w:rPr>
          <w:rFonts w:cs="Arial"/>
        </w:rPr>
        <w:t>Services and schools can find it difficult to understand why their decile has changed, because deciles are a relative measure affected by the situation of other services and schools.</w:t>
      </w:r>
    </w:p>
    <w:p w:rsidR="008A2385" w:rsidRPr="00852CE5" w:rsidRDefault="008A2385" w:rsidP="008A2385">
      <w:pPr>
        <w:jc w:val="both"/>
        <w:rPr>
          <w:rFonts w:cs="Arial"/>
        </w:rPr>
      </w:pPr>
    </w:p>
    <w:p w:rsidR="005E0001" w:rsidRDefault="005E0001" w:rsidP="008A2385">
      <w:pPr>
        <w:jc w:val="both"/>
        <w:rPr>
          <w:rFonts w:cs="Arial"/>
        </w:rPr>
      </w:pPr>
      <w:r w:rsidRPr="00852CE5">
        <w:rPr>
          <w:rFonts w:cs="Arial"/>
        </w:rPr>
        <w:t xml:space="preserve">A further concern relates to the use of </w:t>
      </w:r>
      <w:r w:rsidR="005674FE">
        <w:rPr>
          <w:rFonts w:cs="Arial"/>
        </w:rPr>
        <w:t>c</w:t>
      </w:r>
      <w:r w:rsidR="005674FE" w:rsidRPr="00852CE5">
        <w:rPr>
          <w:rFonts w:cs="Arial"/>
        </w:rPr>
        <w:t xml:space="preserve">ensus </w:t>
      </w:r>
      <w:proofErr w:type="spellStart"/>
      <w:r w:rsidR="00A8415A">
        <w:rPr>
          <w:rFonts w:cs="Arial"/>
        </w:rPr>
        <w:t>meshb</w:t>
      </w:r>
      <w:r w:rsidR="00C44FBE" w:rsidRPr="00852CE5">
        <w:rPr>
          <w:rFonts w:cs="Arial"/>
        </w:rPr>
        <w:t>lock</w:t>
      </w:r>
      <w:proofErr w:type="spellEnd"/>
      <w:r w:rsidR="00C44FBE" w:rsidRPr="00852CE5">
        <w:rPr>
          <w:rFonts w:cs="Arial"/>
        </w:rPr>
        <w:t xml:space="preserve"> level information to calculate deciles. </w:t>
      </w:r>
      <w:r w:rsidRPr="00852CE5">
        <w:rPr>
          <w:rFonts w:cs="Arial"/>
        </w:rPr>
        <w:t>This tells us about the characteristics of the communities that children and young people live in, rather than their own actual circumstance. Analysis, both in New Zealand and overseas, indicates that</w:t>
      </w:r>
      <w:r w:rsidR="00500E90" w:rsidRPr="00852CE5">
        <w:rPr>
          <w:rFonts w:cs="Arial"/>
        </w:rPr>
        <w:t xml:space="preserve"> </w:t>
      </w:r>
      <w:r w:rsidRPr="00852CE5">
        <w:rPr>
          <w:rFonts w:cs="Arial"/>
        </w:rPr>
        <w:t xml:space="preserve">a </w:t>
      </w:r>
      <w:r w:rsidR="00527F47">
        <w:rPr>
          <w:rFonts w:cs="Arial"/>
        </w:rPr>
        <w:t>significant</w:t>
      </w:r>
      <w:r w:rsidR="00527F47" w:rsidRPr="00852CE5">
        <w:rPr>
          <w:rFonts w:cs="Arial"/>
        </w:rPr>
        <w:t xml:space="preserve"> </w:t>
      </w:r>
      <w:r w:rsidRPr="00852CE5">
        <w:rPr>
          <w:rFonts w:cs="Arial"/>
        </w:rPr>
        <w:t>proportion of people get misclassified by such an approach.</w:t>
      </w:r>
    </w:p>
    <w:p w:rsidR="008A2385" w:rsidRPr="00852CE5" w:rsidRDefault="008A2385" w:rsidP="008A2385">
      <w:pPr>
        <w:jc w:val="both"/>
        <w:rPr>
          <w:rFonts w:cs="Arial"/>
        </w:rPr>
      </w:pPr>
    </w:p>
    <w:p w:rsidR="00F81DDA" w:rsidRPr="008A2385" w:rsidRDefault="00F81DDA" w:rsidP="008A2385">
      <w:pPr>
        <w:pStyle w:val="MoEHeading2"/>
        <w:jc w:val="both"/>
        <w:rPr>
          <w:i/>
          <w:color w:val="0070C0"/>
        </w:rPr>
      </w:pPr>
      <w:bookmarkStart w:id="6" w:name="_Toc451770533"/>
      <w:r w:rsidRPr="008A2385">
        <w:rPr>
          <w:i/>
          <w:color w:val="0070C0"/>
        </w:rPr>
        <w:t xml:space="preserve">Early childhood education </w:t>
      </w:r>
      <w:r w:rsidRPr="006735D7">
        <w:rPr>
          <w:i/>
          <w:color w:val="2A6EBB"/>
        </w:rPr>
        <w:t>affordability</w:t>
      </w:r>
    </w:p>
    <w:p w:rsidR="008A2385" w:rsidRDefault="008A2385" w:rsidP="008A2385">
      <w:pPr>
        <w:jc w:val="both"/>
        <w:rPr>
          <w:rFonts w:cs="Arial"/>
        </w:rPr>
      </w:pPr>
    </w:p>
    <w:p w:rsidR="00F81DDA" w:rsidRDefault="00F81DDA" w:rsidP="008A2385">
      <w:pPr>
        <w:jc w:val="both"/>
        <w:rPr>
          <w:rFonts w:cs="Arial"/>
        </w:rPr>
      </w:pPr>
      <w:r w:rsidRPr="00852CE5">
        <w:rPr>
          <w:rFonts w:cs="Arial"/>
        </w:rPr>
        <w:t>Unlike schools, early childhood education services often charge compulsory fees, so affordability could be a barrier to participation, particularly for children from low-income households. These children may also be at risk of educational under-achievement.</w:t>
      </w:r>
    </w:p>
    <w:p w:rsidR="008A2385" w:rsidRPr="00852CE5" w:rsidRDefault="008A2385" w:rsidP="008A2385">
      <w:pPr>
        <w:jc w:val="both"/>
        <w:rPr>
          <w:rFonts w:cs="Arial"/>
        </w:rPr>
      </w:pPr>
    </w:p>
    <w:p w:rsidR="00F81DDA" w:rsidRDefault="00F81DDA" w:rsidP="008A2385">
      <w:pPr>
        <w:jc w:val="both"/>
        <w:rPr>
          <w:rFonts w:cs="Arial"/>
        </w:rPr>
      </w:pPr>
      <w:r w:rsidRPr="00852CE5">
        <w:rPr>
          <w:rFonts w:cs="Arial"/>
        </w:rPr>
        <w:t xml:space="preserve">Nevertheless, addressing barriers to affordability is a distinct </w:t>
      </w:r>
      <w:r w:rsidR="004D5121">
        <w:rPr>
          <w:rFonts w:cs="Arial"/>
        </w:rPr>
        <w:t>objective</w:t>
      </w:r>
      <w:r w:rsidRPr="00852CE5">
        <w:rPr>
          <w:rFonts w:cs="Arial"/>
        </w:rPr>
        <w:t xml:space="preserve"> from addressing higher needs for educational support. The latter is the focus of this paper, whereas the former primarily relies upon the Ministry of Social Development’s targeted Childcare Subsidy. </w:t>
      </w:r>
    </w:p>
    <w:p w:rsidR="00FD7DA7" w:rsidRDefault="00FD7DA7" w:rsidP="008A2385">
      <w:pPr>
        <w:jc w:val="both"/>
        <w:rPr>
          <w:rFonts w:cs="Arial"/>
        </w:rPr>
      </w:pPr>
    </w:p>
    <w:p w:rsidR="00F81DDA" w:rsidRDefault="00527F47" w:rsidP="008A2385">
      <w:pPr>
        <w:jc w:val="both"/>
        <w:rPr>
          <w:rFonts w:cs="Arial"/>
        </w:rPr>
      </w:pPr>
      <w:r>
        <w:rPr>
          <w:rFonts w:cs="Arial"/>
        </w:rPr>
        <w:t>D</w:t>
      </w:r>
      <w:r w:rsidR="00F81DDA" w:rsidRPr="00852CE5">
        <w:rPr>
          <w:rFonts w:cs="Arial"/>
        </w:rPr>
        <w:t xml:space="preserve">ifferent household characteristics </w:t>
      </w:r>
      <w:r>
        <w:rPr>
          <w:rFonts w:cs="Arial"/>
        </w:rPr>
        <w:t xml:space="preserve">are used </w:t>
      </w:r>
      <w:r w:rsidR="00F81DDA" w:rsidRPr="00852CE5">
        <w:rPr>
          <w:rFonts w:cs="Arial"/>
        </w:rPr>
        <w:t>to target assistance</w:t>
      </w:r>
      <w:r>
        <w:rPr>
          <w:rFonts w:cs="Arial"/>
        </w:rPr>
        <w:t xml:space="preserve"> to address these different objectives</w:t>
      </w:r>
      <w:r w:rsidR="00F81DDA" w:rsidRPr="00852CE5">
        <w:rPr>
          <w:rFonts w:cs="Arial"/>
        </w:rPr>
        <w:t>, and appropriately so. Affordability measures tend to use household income at a particular point in time, whereas for achievement support it is better to look for factors that have a longer-term influence on achievement.</w:t>
      </w:r>
      <w:r w:rsidR="00FD7DA7">
        <w:rPr>
          <w:rFonts w:cs="Arial"/>
        </w:rPr>
        <w:t xml:space="preserve"> </w:t>
      </w:r>
      <w:r w:rsidR="00F81DDA" w:rsidRPr="00852CE5">
        <w:rPr>
          <w:rFonts w:cs="Arial"/>
        </w:rPr>
        <w:t xml:space="preserve">There can however be some overlap between these two </w:t>
      </w:r>
      <w:r w:rsidR="004D5121">
        <w:rPr>
          <w:rFonts w:cs="Arial"/>
        </w:rPr>
        <w:t>objectives</w:t>
      </w:r>
      <w:r w:rsidR="00F81DDA" w:rsidRPr="00852CE5">
        <w:rPr>
          <w:rFonts w:cs="Arial"/>
        </w:rPr>
        <w:t>. Some ECE services currently use part of their Equity Funding to reduce fees or other costs to parents.</w:t>
      </w:r>
    </w:p>
    <w:p w:rsidR="007A5F73" w:rsidRPr="00852CE5" w:rsidRDefault="007A5F73" w:rsidP="008A2385">
      <w:pPr>
        <w:jc w:val="both"/>
        <w:rPr>
          <w:rFonts w:cs="Arial"/>
        </w:rPr>
      </w:pPr>
    </w:p>
    <w:p w:rsidR="00F81DDA" w:rsidRDefault="00F81DDA" w:rsidP="006735D7">
      <w:pPr>
        <w:pStyle w:val="MoEHeading1"/>
      </w:pPr>
      <w:r>
        <w:t>International context</w:t>
      </w:r>
    </w:p>
    <w:p w:rsidR="00852CE5" w:rsidRDefault="00852CE5" w:rsidP="008A2385">
      <w:pPr>
        <w:jc w:val="both"/>
        <w:rPr>
          <w:rFonts w:cs="Arial"/>
        </w:rPr>
      </w:pPr>
    </w:p>
    <w:p w:rsidR="00F35F82" w:rsidRDefault="00F81DDA" w:rsidP="008A2385">
      <w:pPr>
        <w:jc w:val="both"/>
        <w:rPr>
          <w:rFonts w:cs="Arial"/>
        </w:rPr>
      </w:pPr>
      <w:r w:rsidRPr="00852CE5">
        <w:rPr>
          <w:rFonts w:cs="Arial"/>
        </w:rPr>
        <w:t>New Zealand’s decile system has some features in common with approaches in other countries, but also some differences</w:t>
      </w:r>
      <w:r w:rsidR="0008637A" w:rsidRPr="00852CE5">
        <w:rPr>
          <w:rFonts w:cs="Arial"/>
        </w:rPr>
        <w:t xml:space="preserve">. </w:t>
      </w:r>
      <w:fldSimple w:instr=" REF _Ref449624230 \h  \* MERGEFORMAT ">
        <w:r w:rsidR="000025B5" w:rsidRPr="000025B5">
          <w:t>Table</w:t>
        </w:r>
        <w:r w:rsidR="000025B5" w:rsidRPr="000025B5">
          <w:rPr>
            <w:rFonts w:cs="Arial"/>
            <w:color w:val="000000" w:themeColor="text1"/>
          </w:rPr>
          <w:t xml:space="preserve"> 1</w:t>
        </w:r>
      </w:fldSimple>
      <w:r w:rsidR="00DE2FD2">
        <w:rPr>
          <w:rFonts w:cs="Arial"/>
        </w:rPr>
        <w:t xml:space="preserve"> </w:t>
      </w:r>
      <w:r w:rsidR="0008637A" w:rsidRPr="00852CE5">
        <w:rPr>
          <w:rFonts w:cs="Arial"/>
        </w:rPr>
        <w:t xml:space="preserve">outlines key characteristics of </w:t>
      </w:r>
      <w:r w:rsidR="00527F47">
        <w:rPr>
          <w:rFonts w:cs="Arial"/>
        </w:rPr>
        <w:t xml:space="preserve">approaches used in </w:t>
      </w:r>
      <w:r w:rsidR="0008637A" w:rsidRPr="00852CE5">
        <w:rPr>
          <w:rFonts w:cs="Arial"/>
        </w:rPr>
        <w:t>other countries.</w:t>
      </w:r>
    </w:p>
    <w:p w:rsidR="000025B5" w:rsidRDefault="000025B5" w:rsidP="008A2385">
      <w:pPr>
        <w:jc w:val="both"/>
        <w:rPr>
          <w:rFonts w:cs="Arial"/>
        </w:rPr>
      </w:pPr>
    </w:p>
    <w:p w:rsidR="007A5F73" w:rsidRPr="00FD7DA7" w:rsidRDefault="00F81DDA" w:rsidP="00FD7DA7">
      <w:pPr>
        <w:pStyle w:val="Caption"/>
        <w:keepNext/>
        <w:rPr>
          <w:rFonts w:ascii="Arial" w:hAnsi="Arial" w:cs="Arial"/>
          <w:color w:val="000000" w:themeColor="text1"/>
          <w:sz w:val="22"/>
          <w:szCs w:val="22"/>
        </w:rPr>
      </w:pPr>
      <w:bookmarkStart w:id="7" w:name="_Ref449624230"/>
      <w:bookmarkStart w:id="8" w:name="_Ref452471604"/>
      <w:r w:rsidRPr="000025B5">
        <w:rPr>
          <w:rFonts w:ascii="Arial" w:hAnsi="Arial" w:cs="Arial"/>
          <w:color w:val="000000" w:themeColor="text1"/>
          <w:sz w:val="22"/>
          <w:szCs w:val="22"/>
        </w:rPr>
        <w:t xml:space="preserve">Table </w:t>
      </w:r>
      <w:r w:rsidR="0072202C" w:rsidRPr="000025B5">
        <w:rPr>
          <w:rFonts w:ascii="Arial" w:hAnsi="Arial" w:cs="Arial"/>
          <w:color w:val="000000" w:themeColor="text1"/>
          <w:sz w:val="22"/>
          <w:szCs w:val="22"/>
        </w:rPr>
        <w:fldChar w:fldCharType="begin"/>
      </w:r>
      <w:r w:rsidR="000A48E6" w:rsidRPr="000025B5">
        <w:rPr>
          <w:rFonts w:ascii="Arial" w:hAnsi="Arial" w:cs="Arial"/>
          <w:color w:val="000000" w:themeColor="text1"/>
          <w:sz w:val="22"/>
          <w:szCs w:val="22"/>
        </w:rPr>
        <w:instrText xml:space="preserve"> SEQ Table \* ARABIC </w:instrText>
      </w:r>
      <w:r w:rsidR="0072202C" w:rsidRPr="000025B5">
        <w:rPr>
          <w:rFonts w:ascii="Arial" w:hAnsi="Arial" w:cs="Arial"/>
          <w:color w:val="000000" w:themeColor="text1"/>
          <w:sz w:val="22"/>
          <w:szCs w:val="22"/>
        </w:rPr>
        <w:fldChar w:fldCharType="separate"/>
      </w:r>
      <w:r w:rsidR="00912CD2" w:rsidRPr="000025B5">
        <w:rPr>
          <w:rFonts w:ascii="Arial" w:hAnsi="Arial" w:cs="Arial"/>
          <w:noProof/>
          <w:color w:val="000000" w:themeColor="text1"/>
          <w:sz w:val="22"/>
          <w:szCs w:val="22"/>
        </w:rPr>
        <w:t>1</w:t>
      </w:r>
      <w:r w:rsidR="0072202C" w:rsidRPr="000025B5">
        <w:rPr>
          <w:rFonts w:ascii="Arial" w:hAnsi="Arial" w:cs="Arial"/>
          <w:color w:val="000000" w:themeColor="text1"/>
          <w:sz w:val="22"/>
          <w:szCs w:val="22"/>
        </w:rPr>
        <w:fldChar w:fldCharType="end"/>
      </w:r>
      <w:bookmarkEnd w:id="7"/>
      <w:bookmarkEnd w:id="8"/>
      <w:r w:rsidR="008A2385" w:rsidRPr="000025B5">
        <w:rPr>
          <w:rFonts w:ascii="Arial" w:hAnsi="Arial" w:cs="Arial"/>
          <w:color w:val="000000" w:themeColor="text1"/>
          <w:sz w:val="22"/>
          <w:szCs w:val="22"/>
        </w:rPr>
        <w:t>:</w:t>
      </w:r>
      <w:r w:rsidRPr="000025B5">
        <w:rPr>
          <w:rFonts w:ascii="Arial" w:hAnsi="Arial" w:cs="Arial"/>
          <w:color w:val="000000" w:themeColor="text1"/>
          <w:sz w:val="22"/>
          <w:szCs w:val="22"/>
        </w:rPr>
        <w:t xml:space="preserve"> Funding approaches to address risk of educational under-achievement in other countries</w:t>
      </w:r>
    </w:p>
    <w:tbl>
      <w:tblPr>
        <w:tblStyle w:val="FiveGoals"/>
        <w:tblW w:w="0" w:type="auto"/>
        <w:jc w:val="center"/>
        <w:tblLook w:val="04A0"/>
      </w:tblPr>
      <w:tblGrid>
        <w:gridCol w:w="1668"/>
        <w:gridCol w:w="2297"/>
        <w:gridCol w:w="3978"/>
        <w:gridCol w:w="1993"/>
      </w:tblGrid>
      <w:tr w:rsidR="00931318" w:rsidTr="00FD7DA7">
        <w:trPr>
          <w:cnfStyle w:val="100000000000"/>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Country</w:t>
            </w:r>
          </w:p>
        </w:tc>
        <w:tc>
          <w:tcPr>
            <w:tcW w:w="2297" w:type="dxa"/>
          </w:tcPr>
          <w:p w:rsidR="00931318" w:rsidRPr="009E46E3" w:rsidRDefault="00931318" w:rsidP="00931318">
            <w:pPr>
              <w:spacing w:before="60" w:after="60"/>
              <w:cnfStyle w:val="100000000000"/>
              <w:rPr>
                <w:rFonts w:cs="Arial"/>
                <w:sz w:val="20"/>
                <w:szCs w:val="20"/>
              </w:rPr>
            </w:pPr>
            <w:r w:rsidRPr="009E46E3">
              <w:rPr>
                <w:rFonts w:cs="Arial"/>
                <w:sz w:val="20"/>
                <w:szCs w:val="20"/>
              </w:rPr>
              <w:t>Risk assigned to</w:t>
            </w:r>
          </w:p>
        </w:tc>
        <w:tc>
          <w:tcPr>
            <w:tcW w:w="3978" w:type="dxa"/>
          </w:tcPr>
          <w:p w:rsidR="00931318" w:rsidRPr="009E46E3" w:rsidRDefault="00931318" w:rsidP="00931318">
            <w:pPr>
              <w:spacing w:before="60" w:after="60"/>
              <w:cnfStyle w:val="100000000000"/>
              <w:rPr>
                <w:rFonts w:cs="Arial"/>
                <w:sz w:val="20"/>
                <w:szCs w:val="20"/>
              </w:rPr>
            </w:pPr>
            <w:r w:rsidRPr="009E46E3">
              <w:rPr>
                <w:rFonts w:cs="Arial"/>
                <w:sz w:val="20"/>
                <w:szCs w:val="20"/>
              </w:rPr>
              <w:t>Main indicators</w:t>
            </w:r>
          </w:p>
        </w:tc>
        <w:tc>
          <w:tcPr>
            <w:tcW w:w="1993" w:type="dxa"/>
          </w:tcPr>
          <w:p w:rsidR="00931318" w:rsidRPr="009E46E3" w:rsidRDefault="00931318" w:rsidP="00931318">
            <w:pPr>
              <w:spacing w:before="60" w:after="60"/>
              <w:cnfStyle w:val="100000000000"/>
              <w:rPr>
                <w:rFonts w:cs="Arial"/>
                <w:sz w:val="20"/>
                <w:szCs w:val="20"/>
              </w:rPr>
            </w:pPr>
            <w:r w:rsidRPr="009E46E3">
              <w:rPr>
                <w:rFonts w:cs="Arial"/>
                <w:sz w:val="20"/>
                <w:szCs w:val="20"/>
              </w:rPr>
              <w:t>Concentration?</w:t>
            </w:r>
          </w:p>
        </w:tc>
      </w:tr>
      <w:tr w:rsidR="00931318" w:rsidTr="00FD7DA7">
        <w:trPr>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Australia</w:t>
            </w:r>
          </w:p>
        </w:tc>
        <w:tc>
          <w:tcPr>
            <w:tcW w:w="2297" w:type="dxa"/>
          </w:tcPr>
          <w:p w:rsidR="00931318" w:rsidRDefault="00931318" w:rsidP="005674FE">
            <w:pPr>
              <w:spacing w:before="40" w:after="40"/>
              <w:ind w:left="57"/>
              <w:cnfStyle w:val="000000000000"/>
            </w:pPr>
            <w:r w:rsidRPr="00975A57">
              <w:t>Individual</w:t>
            </w:r>
            <w:r>
              <w:t>,</w:t>
            </w:r>
          </w:p>
          <w:p w:rsidR="00931318" w:rsidRPr="00975A57" w:rsidRDefault="00931318" w:rsidP="005674FE">
            <w:pPr>
              <w:spacing w:before="40" w:after="40"/>
              <w:ind w:left="57"/>
              <w:cnfStyle w:val="000000000000"/>
            </w:pPr>
            <w:proofErr w:type="gramStart"/>
            <w:r w:rsidRPr="00975A57">
              <w:t>except</w:t>
            </w:r>
            <w:proofErr w:type="gramEnd"/>
            <w:r w:rsidRPr="00975A57">
              <w:t xml:space="preserve"> </w:t>
            </w:r>
            <w:r>
              <w:t xml:space="preserve">for </w:t>
            </w:r>
            <w:r w:rsidR="00081F39" w:rsidRPr="00081F39">
              <w:t xml:space="preserve">Australian Capital Territory </w:t>
            </w:r>
            <w:r w:rsidR="00081F39">
              <w:t>(</w:t>
            </w:r>
            <w:r>
              <w:t>ACT</w:t>
            </w:r>
            <w:r w:rsidR="00081F39">
              <w:t>)</w:t>
            </w:r>
            <w:r>
              <w:t>, Queensland and</w:t>
            </w:r>
            <w:r w:rsidRPr="00975A57">
              <w:t xml:space="preserve"> South Australia where primarily school.</w:t>
            </w:r>
          </w:p>
        </w:tc>
        <w:tc>
          <w:tcPr>
            <w:tcW w:w="3978" w:type="dxa"/>
          </w:tcPr>
          <w:p w:rsidR="00931318" w:rsidRDefault="00931318" w:rsidP="00931318">
            <w:pPr>
              <w:spacing w:before="40" w:after="40"/>
              <w:ind w:left="57"/>
              <w:cnfStyle w:val="000000000000"/>
            </w:pPr>
            <w:r w:rsidRPr="00975A57">
              <w:t>Par</w:t>
            </w:r>
            <w:r>
              <w:t>ental occupation – Commonwealth, 6 states/ territories;</w:t>
            </w:r>
          </w:p>
          <w:p w:rsidR="00931318" w:rsidRDefault="00527F47" w:rsidP="00931318">
            <w:pPr>
              <w:spacing w:before="40" w:after="40"/>
              <w:ind w:left="57"/>
              <w:cnfStyle w:val="000000000000"/>
            </w:pPr>
            <w:r>
              <w:t>P</w:t>
            </w:r>
            <w:r w:rsidRPr="00975A57">
              <w:t xml:space="preserve">arental </w:t>
            </w:r>
            <w:r w:rsidR="00931318" w:rsidRPr="00975A57">
              <w:t xml:space="preserve">education </w:t>
            </w:r>
            <w:r w:rsidR="005674FE">
              <w:t>–</w:t>
            </w:r>
            <w:r w:rsidR="00931318" w:rsidRPr="00975A57">
              <w:t xml:space="preserve"> Commonwealth </w:t>
            </w:r>
            <w:r w:rsidR="00931318">
              <w:t>and</w:t>
            </w:r>
            <w:r w:rsidR="00931318" w:rsidRPr="00975A57">
              <w:t xml:space="preserve"> 5 </w:t>
            </w:r>
            <w:r w:rsidR="00931318">
              <w:t>states/ territories</w:t>
            </w:r>
            <w:r w:rsidR="00931318" w:rsidRPr="00975A57">
              <w:t xml:space="preserve">; </w:t>
            </w:r>
          </w:p>
          <w:p w:rsidR="00931318" w:rsidRDefault="00527F47" w:rsidP="00931318">
            <w:pPr>
              <w:spacing w:before="40" w:after="40"/>
              <w:ind w:left="57"/>
              <w:cnfStyle w:val="000000000000"/>
            </w:pPr>
            <w:r>
              <w:t>I</w:t>
            </w:r>
            <w:r w:rsidR="00931318" w:rsidRPr="00975A57">
              <w:t xml:space="preserve">ndigeneity – all except Tasmania; </w:t>
            </w:r>
          </w:p>
          <w:p w:rsidR="00931318" w:rsidRDefault="00527F47" w:rsidP="00931318">
            <w:pPr>
              <w:spacing w:before="40" w:after="40"/>
              <w:ind w:left="57"/>
              <w:cnfStyle w:val="000000000000"/>
            </w:pPr>
            <w:r>
              <w:t xml:space="preserve">Community </w:t>
            </w:r>
            <w:r w:rsidR="00931318">
              <w:t xml:space="preserve">characteristics – </w:t>
            </w:r>
            <w:r w:rsidR="00931318" w:rsidRPr="00975A57">
              <w:t xml:space="preserve">Queensland, ACT; </w:t>
            </w:r>
          </w:p>
          <w:p w:rsidR="00931318" w:rsidRDefault="009316BC" w:rsidP="00931318">
            <w:pPr>
              <w:spacing w:before="40" w:after="40"/>
              <w:ind w:left="57"/>
              <w:cnfStyle w:val="000000000000"/>
            </w:pPr>
            <w:r>
              <w:t>P</w:t>
            </w:r>
            <w:r w:rsidR="00931318" w:rsidRPr="00975A57">
              <w:t xml:space="preserve">rior achievement – Victoria; </w:t>
            </w:r>
          </w:p>
          <w:p w:rsidR="00931318" w:rsidRPr="00975A57" w:rsidRDefault="00527F47" w:rsidP="00931318">
            <w:pPr>
              <w:spacing w:before="40" w:after="40"/>
              <w:ind w:left="57"/>
              <w:cnfStyle w:val="000000000000"/>
            </w:pPr>
            <w:r>
              <w:t>R</w:t>
            </w:r>
            <w:r w:rsidRPr="00975A57">
              <w:t xml:space="preserve">efugee </w:t>
            </w:r>
            <w:r w:rsidR="00931318" w:rsidRPr="00975A57">
              <w:t>status – Queensland</w:t>
            </w:r>
          </w:p>
        </w:tc>
        <w:tc>
          <w:tcPr>
            <w:tcW w:w="1993" w:type="dxa"/>
          </w:tcPr>
          <w:p w:rsidR="00931318" w:rsidRDefault="00931318" w:rsidP="00931318">
            <w:pPr>
              <w:spacing w:before="40" w:after="40"/>
              <w:ind w:left="57"/>
              <w:cnfStyle w:val="000000000000"/>
            </w:pPr>
            <w:r w:rsidRPr="00975A57">
              <w:t>Yes – Commonwealth</w:t>
            </w:r>
            <w:r>
              <w:t>,</w:t>
            </w:r>
            <w:r w:rsidRPr="00975A57">
              <w:t xml:space="preserve"> 5 states/territories; </w:t>
            </w:r>
          </w:p>
          <w:p w:rsidR="00931318" w:rsidRDefault="00527F47" w:rsidP="00931318">
            <w:pPr>
              <w:spacing w:before="40" w:after="40"/>
              <w:ind w:left="57"/>
              <w:cnfStyle w:val="000000000000"/>
            </w:pPr>
            <w:r>
              <w:t>I</w:t>
            </w:r>
            <w:r w:rsidRPr="00975A57">
              <w:t xml:space="preserve">mplicit </w:t>
            </w:r>
            <w:r w:rsidR="00931318" w:rsidRPr="00975A57">
              <w:t xml:space="preserve">– </w:t>
            </w:r>
            <w:r w:rsidR="00931318">
              <w:t>ACT, Queensland and</w:t>
            </w:r>
            <w:r w:rsidR="00931318" w:rsidRPr="00975A57">
              <w:t xml:space="preserve"> South Australia; </w:t>
            </w:r>
          </w:p>
          <w:p w:rsidR="00931318" w:rsidRDefault="00527F47" w:rsidP="00931318">
            <w:pPr>
              <w:spacing w:before="40" w:after="40"/>
              <w:ind w:left="57"/>
              <w:cnfStyle w:val="000000000000"/>
            </w:pPr>
            <w:r>
              <w:t>N</w:t>
            </w:r>
            <w:r w:rsidRPr="00975A57">
              <w:t xml:space="preserve">o </w:t>
            </w:r>
            <w:r w:rsidR="00931318" w:rsidRPr="00975A57">
              <w:t>– Norther</w:t>
            </w:r>
            <w:r w:rsidR="00931318">
              <w:t>n</w:t>
            </w:r>
            <w:r w:rsidR="00931318" w:rsidRPr="00975A57">
              <w:t xml:space="preserve"> Territory</w:t>
            </w:r>
          </w:p>
        </w:tc>
      </w:tr>
      <w:tr w:rsidR="00931318" w:rsidTr="00FD7DA7">
        <w:trPr>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United Kingdom</w:t>
            </w:r>
          </w:p>
        </w:tc>
        <w:tc>
          <w:tcPr>
            <w:tcW w:w="2297" w:type="dxa"/>
          </w:tcPr>
          <w:p w:rsidR="00931318" w:rsidRPr="00AF02A4" w:rsidRDefault="00931318" w:rsidP="00931318">
            <w:pPr>
              <w:spacing w:before="40" w:after="40"/>
              <w:ind w:left="57"/>
              <w:cnfStyle w:val="000000000000"/>
              <w:rPr>
                <w:rFonts w:cs="Arial"/>
                <w:szCs w:val="20"/>
              </w:rPr>
            </w:pPr>
            <w:r w:rsidRPr="00AF02A4">
              <w:rPr>
                <w:rFonts w:cs="Arial"/>
                <w:szCs w:val="20"/>
              </w:rPr>
              <w:t xml:space="preserve">Individual </w:t>
            </w:r>
          </w:p>
          <w:p w:rsidR="00931318" w:rsidRPr="00AF02A4" w:rsidRDefault="00931318" w:rsidP="00931318">
            <w:pPr>
              <w:spacing w:before="40" w:after="40"/>
              <w:ind w:left="57"/>
              <w:cnfStyle w:val="000000000000"/>
              <w:rPr>
                <w:rFonts w:cs="Arial"/>
                <w:szCs w:val="20"/>
              </w:rPr>
            </w:pPr>
          </w:p>
        </w:tc>
        <w:tc>
          <w:tcPr>
            <w:tcW w:w="3978" w:type="dxa"/>
          </w:tcPr>
          <w:p w:rsidR="00931318" w:rsidRDefault="00931318" w:rsidP="00931318">
            <w:pPr>
              <w:spacing w:before="40" w:after="40"/>
              <w:ind w:left="57"/>
              <w:cnfStyle w:val="000000000000"/>
              <w:rPr>
                <w:rFonts w:cs="Arial"/>
                <w:szCs w:val="20"/>
              </w:rPr>
            </w:pPr>
            <w:r>
              <w:rPr>
                <w:rFonts w:cs="Arial"/>
                <w:szCs w:val="20"/>
              </w:rPr>
              <w:t>Free school m</w:t>
            </w:r>
            <w:r w:rsidRPr="00AF02A4">
              <w:rPr>
                <w:rFonts w:cs="Arial"/>
                <w:szCs w:val="20"/>
              </w:rPr>
              <w:t xml:space="preserve">eals </w:t>
            </w:r>
            <w:r w:rsidRPr="00AF02A4">
              <w:t>(proxy for income/</w:t>
            </w:r>
            <w:r>
              <w:t xml:space="preserve"> </w:t>
            </w:r>
            <w:r w:rsidRPr="00AF02A4">
              <w:t>benefit status)</w:t>
            </w:r>
            <w:r>
              <w:t xml:space="preserve"> – Pupil Premium</w:t>
            </w:r>
            <w:r w:rsidRPr="00AF02A4">
              <w:rPr>
                <w:rFonts w:cs="Arial"/>
                <w:szCs w:val="20"/>
              </w:rPr>
              <w:t xml:space="preserve">; </w:t>
            </w:r>
          </w:p>
          <w:p w:rsidR="00931318" w:rsidRPr="00AF02A4" w:rsidRDefault="00527F47" w:rsidP="00931318">
            <w:pPr>
              <w:spacing w:before="40" w:after="40"/>
              <w:ind w:left="57"/>
              <w:cnfStyle w:val="000000000000"/>
              <w:rPr>
                <w:rFonts w:cs="Arial"/>
                <w:szCs w:val="20"/>
              </w:rPr>
            </w:pPr>
            <w:r>
              <w:rPr>
                <w:rFonts w:cs="Arial"/>
                <w:szCs w:val="20"/>
              </w:rPr>
              <w:t>C</w:t>
            </w:r>
            <w:r w:rsidRPr="00AF02A4">
              <w:rPr>
                <w:rFonts w:cs="Arial"/>
                <w:szCs w:val="20"/>
              </w:rPr>
              <w:t xml:space="preserve">ommunity </w:t>
            </w:r>
            <w:r w:rsidR="00931318" w:rsidRPr="00AF02A4">
              <w:rPr>
                <w:rFonts w:cs="Arial"/>
                <w:szCs w:val="20"/>
              </w:rPr>
              <w:t>characteristics (poverty)</w:t>
            </w:r>
            <w:r w:rsidR="005E7347">
              <w:rPr>
                <w:rFonts w:cs="Arial"/>
                <w:szCs w:val="20"/>
              </w:rPr>
              <w:t>;</w:t>
            </w:r>
            <w:r w:rsidR="00931318">
              <w:rPr>
                <w:rFonts w:cs="Arial"/>
                <w:szCs w:val="20"/>
              </w:rPr>
              <w:t xml:space="preserve"> p</w:t>
            </w:r>
            <w:r w:rsidR="00931318" w:rsidRPr="00AF02A4">
              <w:rPr>
                <w:rFonts w:cs="Arial"/>
                <w:szCs w:val="20"/>
              </w:rPr>
              <w:t xml:space="preserve">rior attainment; children in care; </w:t>
            </w:r>
            <w:r w:rsidR="00931318">
              <w:rPr>
                <w:rFonts w:cs="Arial"/>
                <w:szCs w:val="20"/>
              </w:rPr>
              <w:t>student</w:t>
            </w:r>
            <w:r w:rsidR="00931318" w:rsidRPr="00AF02A4">
              <w:rPr>
                <w:rFonts w:cs="Arial"/>
                <w:szCs w:val="20"/>
              </w:rPr>
              <w:t xml:space="preserve"> mobility</w:t>
            </w:r>
          </w:p>
        </w:tc>
        <w:tc>
          <w:tcPr>
            <w:tcW w:w="1993" w:type="dxa"/>
          </w:tcPr>
          <w:p w:rsidR="00931318" w:rsidRPr="00AF02A4" w:rsidRDefault="00931318" w:rsidP="00931318">
            <w:pPr>
              <w:spacing w:before="40" w:after="40"/>
              <w:ind w:left="57"/>
              <w:cnfStyle w:val="000000000000"/>
              <w:rPr>
                <w:rFonts w:cs="Arial"/>
                <w:szCs w:val="20"/>
              </w:rPr>
            </w:pPr>
            <w:r w:rsidRPr="00AF02A4">
              <w:rPr>
                <w:rFonts w:cs="Arial"/>
                <w:szCs w:val="20"/>
              </w:rPr>
              <w:t>No</w:t>
            </w:r>
          </w:p>
        </w:tc>
      </w:tr>
      <w:tr w:rsidR="00931318" w:rsidTr="00FD7DA7">
        <w:trPr>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United States</w:t>
            </w:r>
          </w:p>
        </w:tc>
        <w:tc>
          <w:tcPr>
            <w:tcW w:w="2297" w:type="dxa"/>
          </w:tcPr>
          <w:p w:rsidR="00931318" w:rsidRDefault="00931318" w:rsidP="00931318">
            <w:pPr>
              <w:spacing w:before="40" w:after="40"/>
              <w:ind w:left="57"/>
              <w:cnfStyle w:val="000000000000"/>
            </w:pPr>
            <w:r w:rsidRPr="00971F31">
              <w:t xml:space="preserve">Individual </w:t>
            </w:r>
            <w:r>
              <w:t>– 31 states;</w:t>
            </w:r>
          </w:p>
          <w:p w:rsidR="00931318" w:rsidRDefault="00527F47" w:rsidP="00931318">
            <w:pPr>
              <w:spacing w:before="40" w:after="40"/>
              <w:ind w:left="57"/>
              <w:cnfStyle w:val="000000000000"/>
            </w:pPr>
            <w:r>
              <w:t xml:space="preserve">District </w:t>
            </w:r>
            <w:r w:rsidR="00931318">
              <w:t xml:space="preserve">– federal, 10 states; </w:t>
            </w:r>
          </w:p>
          <w:p w:rsidR="00931318" w:rsidRPr="00971F31" w:rsidRDefault="00527F47" w:rsidP="00931318">
            <w:pPr>
              <w:spacing w:before="40" w:after="40"/>
              <w:ind w:left="57"/>
              <w:cnfStyle w:val="000000000000"/>
            </w:pPr>
            <w:r>
              <w:t xml:space="preserve">No </w:t>
            </w:r>
            <w:r w:rsidR="00931318">
              <w:t>funding – 9 states</w:t>
            </w:r>
          </w:p>
        </w:tc>
        <w:tc>
          <w:tcPr>
            <w:tcW w:w="3978" w:type="dxa"/>
          </w:tcPr>
          <w:p w:rsidR="00931318" w:rsidRDefault="00931318" w:rsidP="00931318">
            <w:pPr>
              <w:spacing w:before="40" w:after="40"/>
              <w:ind w:left="57"/>
              <w:cnfStyle w:val="000000000000"/>
            </w:pPr>
            <w:r>
              <w:t>School meal entitlement (proxy for income/benefit status) – 30 states;</w:t>
            </w:r>
          </w:p>
          <w:p w:rsidR="00931318" w:rsidRDefault="00527F47" w:rsidP="00931318">
            <w:pPr>
              <w:spacing w:before="40" w:after="40"/>
              <w:ind w:left="57"/>
              <w:cnfStyle w:val="000000000000"/>
            </w:pPr>
            <w:r>
              <w:t>Income</w:t>
            </w:r>
            <w:r w:rsidR="00931318">
              <w:t xml:space="preserve">/poverty – federal, 9 states; </w:t>
            </w:r>
          </w:p>
          <w:p w:rsidR="00931318" w:rsidRDefault="00527F47" w:rsidP="00931318">
            <w:pPr>
              <w:spacing w:before="40" w:after="40"/>
              <w:ind w:left="57"/>
              <w:cnfStyle w:val="000000000000"/>
            </w:pPr>
            <w:r>
              <w:t xml:space="preserve">Other </w:t>
            </w:r>
            <w:r w:rsidR="00931318">
              <w:t xml:space="preserve">govt programmes – 6 states; </w:t>
            </w:r>
          </w:p>
          <w:p w:rsidR="00931318" w:rsidRDefault="00527F47" w:rsidP="00931318">
            <w:pPr>
              <w:spacing w:before="40" w:after="40"/>
              <w:ind w:left="57"/>
              <w:cnfStyle w:val="000000000000"/>
            </w:pPr>
            <w:r>
              <w:t xml:space="preserve">Prior </w:t>
            </w:r>
            <w:r w:rsidR="00931318">
              <w:t xml:space="preserve">achievement – 4 states; </w:t>
            </w:r>
          </w:p>
          <w:p w:rsidR="00931318" w:rsidRPr="00971F31" w:rsidRDefault="00527F47" w:rsidP="00931318">
            <w:pPr>
              <w:spacing w:before="40" w:after="40"/>
              <w:ind w:left="57"/>
              <w:cnfStyle w:val="000000000000"/>
            </w:pPr>
            <w:r>
              <w:t xml:space="preserve">Transience </w:t>
            </w:r>
            <w:r w:rsidR="00931318">
              <w:t>– 4 states</w:t>
            </w:r>
          </w:p>
        </w:tc>
        <w:tc>
          <w:tcPr>
            <w:tcW w:w="1993" w:type="dxa"/>
          </w:tcPr>
          <w:p w:rsidR="00931318" w:rsidRDefault="00931318" w:rsidP="00931318">
            <w:pPr>
              <w:spacing w:before="40" w:after="40"/>
              <w:ind w:left="57"/>
              <w:cnfStyle w:val="000000000000"/>
            </w:pPr>
            <w:r>
              <w:t>Yes – federal, 18 states;</w:t>
            </w:r>
          </w:p>
          <w:p w:rsidR="00931318" w:rsidRPr="00971F31" w:rsidRDefault="00527F47" w:rsidP="00931318">
            <w:pPr>
              <w:spacing w:before="40" w:after="40"/>
              <w:ind w:left="57"/>
              <w:cnfStyle w:val="000000000000"/>
            </w:pPr>
            <w:r>
              <w:t xml:space="preserve">No </w:t>
            </w:r>
            <w:r w:rsidR="00931318">
              <w:t>– 23 states</w:t>
            </w:r>
          </w:p>
        </w:tc>
      </w:tr>
      <w:tr w:rsidR="00931318" w:rsidTr="00FD7DA7">
        <w:trPr>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Netherlands</w:t>
            </w:r>
          </w:p>
        </w:tc>
        <w:tc>
          <w:tcPr>
            <w:tcW w:w="2297" w:type="dxa"/>
          </w:tcPr>
          <w:p w:rsidR="00931318" w:rsidRDefault="00931318" w:rsidP="00931318">
            <w:pPr>
              <w:spacing w:before="40" w:after="40"/>
              <w:ind w:left="57"/>
              <w:cnfStyle w:val="000000000000"/>
            </w:pPr>
            <w:r w:rsidRPr="00971F31">
              <w:t xml:space="preserve">Individual </w:t>
            </w:r>
            <w:r>
              <w:t>– p</w:t>
            </w:r>
            <w:r w:rsidRPr="002C0627">
              <w:t xml:space="preserve">rimary </w:t>
            </w:r>
            <w:r>
              <w:t xml:space="preserve">schools, learning support (secondary); </w:t>
            </w:r>
          </w:p>
          <w:p w:rsidR="00931318" w:rsidRPr="002C0627" w:rsidRDefault="00527F47" w:rsidP="00931318">
            <w:pPr>
              <w:spacing w:before="40" w:after="40"/>
              <w:ind w:left="57"/>
              <w:cnfStyle w:val="000000000000"/>
            </w:pPr>
            <w:r>
              <w:t xml:space="preserve">School </w:t>
            </w:r>
            <w:r w:rsidR="005674FE">
              <w:t>–</w:t>
            </w:r>
            <w:r w:rsidR="00931318">
              <w:t xml:space="preserve"> learning-p</w:t>
            </w:r>
            <w:r w:rsidR="00931318" w:rsidRPr="002C0627">
              <w:t>lus</w:t>
            </w:r>
            <w:r w:rsidR="00931318">
              <w:t xml:space="preserve"> (secondary)</w:t>
            </w:r>
          </w:p>
        </w:tc>
        <w:tc>
          <w:tcPr>
            <w:tcW w:w="3978" w:type="dxa"/>
          </w:tcPr>
          <w:p w:rsidR="00931318" w:rsidRDefault="00931318" w:rsidP="00931318">
            <w:pPr>
              <w:spacing w:before="40" w:after="40"/>
              <w:ind w:left="57"/>
              <w:cnfStyle w:val="000000000000"/>
            </w:pPr>
            <w:r>
              <w:t>P</w:t>
            </w:r>
            <w:r w:rsidRPr="002C0627">
              <w:t>arental occupation</w:t>
            </w:r>
            <w:r w:rsidR="005674FE">
              <w:t xml:space="preserve"> </w:t>
            </w:r>
            <w:r>
              <w:t>– primary;</w:t>
            </w:r>
          </w:p>
          <w:p w:rsidR="00931318" w:rsidRDefault="00527F47" w:rsidP="00931318">
            <w:pPr>
              <w:spacing w:before="40" w:after="40"/>
              <w:ind w:left="57"/>
              <w:cnfStyle w:val="000000000000"/>
            </w:pPr>
            <w:r>
              <w:t>C</w:t>
            </w:r>
            <w:r w:rsidRPr="002C0627">
              <w:t xml:space="preserve">ommunity </w:t>
            </w:r>
            <w:r w:rsidR="00931318" w:rsidRPr="002C0627">
              <w:t>characteristics (</w:t>
            </w:r>
            <w:r w:rsidR="00FD7DA7">
              <w:t>low incomes</w:t>
            </w:r>
            <w:r w:rsidR="00FD7DA7" w:rsidRPr="002C0627">
              <w:t xml:space="preserve"> </w:t>
            </w:r>
            <w:r w:rsidR="00931318" w:rsidRPr="002C0627">
              <w:t>h</w:t>
            </w:r>
            <w:r w:rsidR="00931318">
              <w:t xml:space="preserve">igh unemployment,) </w:t>
            </w:r>
            <w:r w:rsidR="005674FE">
              <w:t>–</w:t>
            </w:r>
            <w:r w:rsidR="00931318">
              <w:t xml:space="preserve"> learning-p</w:t>
            </w:r>
            <w:r w:rsidR="00931318" w:rsidRPr="002C0627">
              <w:t>lus</w:t>
            </w:r>
            <w:r w:rsidR="00931318">
              <w:t>;</w:t>
            </w:r>
          </w:p>
          <w:p w:rsidR="00931318" w:rsidRPr="002C0627" w:rsidRDefault="00527F47" w:rsidP="00931318">
            <w:pPr>
              <w:spacing w:before="40" w:after="40"/>
              <w:ind w:left="57"/>
              <w:cnfStyle w:val="000000000000"/>
            </w:pPr>
            <w:r>
              <w:t>P</w:t>
            </w:r>
            <w:r w:rsidRPr="002C0627">
              <w:t xml:space="preserve">rior </w:t>
            </w:r>
            <w:r w:rsidR="00931318" w:rsidRPr="002C0627">
              <w:t>achievement, IQ test</w:t>
            </w:r>
            <w:r w:rsidR="00931318">
              <w:t xml:space="preserve"> – learning support</w:t>
            </w:r>
          </w:p>
        </w:tc>
        <w:tc>
          <w:tcPr>
            <w:tcW w:w="1993" w:type="dxa"/>
          </w:tcPr>
          <w:p w:rsidR="00931318" w:rsidRDefault="00931318" w:rsidP="00931318">
            <w:pPr>
              <w:spacing w:before="40" w:after="40"/>
              <w:ind w:left="57"/>
              <w:cnfStyle w:val="000000000000"/>
            </w:pPr>
            <w:r>
              <w:t>Yes – primary;</w:t>
            </w:r>
          </w:p>
          <w:p w:rsidR="00931318" w:rsidRDefault="00A4532C" w:rsidP="00931318">
            <w:pPr>
              <w:spacing w:before="40" w:after="40"/>
              <w:ind w:left="57"/>
              <w:cnfStyle w:val="000000000000"/>
            </w:pPr>
            <w:r>
              <w:t xml:space="preserve">Implicit </w:t>
            </w:r>
            <w:r w:rsidR="00931318">
              <w:t>– learning-p</w:t>
            </w:r>
            <w:r w:rsidR="00931318" w:rsidRPr="002C0627">
              <w:t>lus</w:t>
            </w:r>
            <w:r w:rsidR="00931318">
              <w:t>;</w:t>
            </w:r>
          </w:p>
          <w:p w:rsidR="00931318" w:rsidRDefault="00A4532C" w:rsidP="00931318">
            <w:pPr>
              <w:spacing w:before="40" w:after="40"/>
              <w:ind w:left="57"/>
              <w:cnfStyle w:val="000000000000"/>
            </w:pPr>
            <w:r>
              <w:t xml:space="preserve">No </w:t>
            </w:r>
            <w:r w:rsidR="005674FE">
              <w:t>–</w:t>
            </w:r>
            <w:r w:rsidR="00931318">
              <w:t xml:space="preserve"> l</w:t>
            </w:r>
            <w:r w:rsidR="00931318" w:rsidRPr="002C0627">
              <w:t>earning supp</w:t>
            </w:r>
            <w:r w:rsidR="00931318">
              <w:t>ort</w:t>
            </w:r>
          </w:p>
        </w:tc>
      </w:tr>
      <w:tr w:rsidR="00931318" w:rsidTr="00FD7DA7">
        <w:trPr>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France</w:t>
            </w:r>
          </w:p>
        </w:tc>
        <w:tc>
          <w:tcPr>
            <w:tcW w:w="2297" w:type="dxa"/>
          </w:tcPr>
          <w:p w:rsidR="00931318" w:rsidRPr="00F075E1" w:rsidRDefault="00931318" w:rsidP="00931318">
            <w:pPr>
              <w:spacing w:before="40" w:after="40"/>
              <w:ind w:left="57"/>
              <w:cnfStyle w:val="000000000000"/>
            </w:pPr>
            <w:r w:rsidRPr="00F075E1">
              <w:t>School</w:t>
            </w:r>
          </w:p>
        </w:tc>
        <w:tc>
          <w:tcPr>
            <w:tcW w:w="3978" w:type="dxa"/>
          </w:tcPr>
          <w:p w:rsidR="00931318" w:rsidRPr="00F075E1" w:rsidRDefault="00931318" w:rsidP="00931318">
            <w:pPr>
              <w:spacing w:before="40" w:after="40"/>
              <w:ind w:left="57"/>
              <w:cnfStyle w:val="000000000000"/>
            </w:pPr>
            <w:r w:rsidRPr="00F075E1">
              <w:t>Parental occupation, prior achievement</w:t>
            </w:r>
          </w:p>
        </w:tc>
        <w:tc>
          <w:tcPr>
            <w:tcW w:w="1993" w:type="dxa"/>
          </w:tcPr>
          <w:p w:rsidR="00931318" w:rsidRDefault="00931318" w:rsidP="00931318">
            <w:pPr>
              <w:spacing w:before="40" w:after="40"/>
              <w:ind w:left="57"/>
              <w:cnfStyle w:val="000000000000"/>
            </w:pPr>
            <w:r w:rsidRPr="00F075E1">
              <w:t>Implicit</w:t>
            </w:r>
          </w:p>
        </w:tc>
      </w:tr>
      <w:tr w:rsidR="00931318" w:rsidTr="00FD7DA7">
        <w:trPr>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Ireland</w:t>
            </w:r>
          </w:p>
        </w:tc>
        <w:tc>
          <w:tcPr>
            <w:tcW w:w="2297" w:type="dxa"/>
          </w:tcPr>
          <w:p w:rsidR="00931318" w:rsidRPr="0085291C" w:rsidRDefault="00931318" w:rsidP="00931318">
            <w:pPr>
              <w:spacing w:before="40" w:after="40"/>
              <w:ind w:left="57"/>
              <w:cnfStyle w:val="000000000000"/>
            </w:pPr>
            <w:r w:rsidRPr="0085291C">
              <w:t>School</w:t>
            </w:r>
          </w:p>
        </w:tc>
        <w:tc>
          <w:tcPr>
            <w:tcW w:w="3978" w:type="dxa"/>
          </w:tcPr>
          <w:p w:rsidR="00931318" w:rsidRDefault="00931318" w:rsidP="00931318">
            <w:pPr>
              <w:spacing w:before="40" w:after="40"/>
              <w:ind w:left="57"/>
              <w:cnfStyle w:val="000000000000"/>
            </w:pPr>
            <w:r>
              <w:t>U</w:t>
            </w:r>
            <w:r w:rsidRPr="0085291C">
              <w:t>nemployment, family charac</w:t>
            </w:r>
            <w:r>
              <w:t>teristics, travellers,</w:t>
            </w:r>
            <w:r w:rsidRPr="0085291C">
              <w:t xml:space="preserve"> free book grants </w:t>
            </w:r>
            <w:r w:rsidR="00A4532C">
              <w:t>I</w:t>
            </w:r>
            <w:r w:rsidRPr="0085291C">
              <w:t>ncome/benefit dependence, social housing</w:t>
            </w:r>
            <w:r>
              <w:t xml:space="preserve"> </w:t>
            </w:r>
            <w:r w:rsidR="005674FE">
              <w:t>–</w:t>
            </w:r>
            <w:r>
              <w:t xml:space="preserve"> primary</w:t>
            </w:r>
            <w:r w:rsidRPr="0085291C">
              <w:t xml:space="preserve">; </w:t>
            </w:r>
          </w:p>
          <w:p w:rsidR="00931318" w:rsidRPr="0085291C" w:rsidRDefault="00A4532C" w:rsidP="00931318">
            <w:pPr>
              <w:spacing w:before="40" w:after="40"/>
              <w:ind w:left="57"/>
              <w:cnfStyle w:val="000000000000"/>
            </w:pPr>
            <w:r>
              <w:t>P</w:t>
            </w:r>
            <w:r w:rsidRPr="0085291C">
              <w:t xml:space="preserve">rior </w:t>
            </w:r>
            <w:r w:rsidR="00931318" w:rsidRPr="0085291C">
              <w:t>achievement; medical card (proxy for low income)</w:t>
            </w:r>
            <w:r w:rsidR="00931318">
              <w:t xml:space="preserve"> </w:t>
            </w:r>
            <w:r w:rsidR="005674FE">
              <w:t>–</w:t>
            </w:r>
            <w:r w:rsidR="00931318">
              <w:t xml:space="preserve"> s</w:t>
            </w:r>
            <w:r w:rsidR="00931318" w:rsidRPr="0085291C">
              <w:t>econdary</w:t>
            </w:r>
          </w:p>
        </w:tc>
        <w:tc>
          <w:tcPr>
            <w:tcW w:w="1993" w:type="dxa"/>
          </w:tcPr>
          <w:p w:rsidR="00931318" w:rsidRDefault="00931318" w:rsidP="00931318">
            <w:pPr>
              <w:spacing w:before="40" w:after="40"/>
              <w:ind w:left="57"/>
              <w:cnfStyle w:val="000000000000"/>
            </w:pPr>
            <w:r>
              <w:t xml:space="preserve">Implicit via </w:t>
            </w:r>
            <w:r w:rsidRPr="0085291C">
              <w:t>high thresholds</w:t>
            </w:r>
            <w:r>
              <w:t xml:space="preserve"> for eligibility </w:t>
            </w:r>
          </w:p>
        </w:tc>
      </w:tr>
      <w:tr w:rsidR="00931318" w:rsidTr="00FD7DA7">
        <w:trPr>
          <w:jc w:val="center"/>
        </w:trPr>
        <w:tc>
          <w:tcPr>
            <w:cnfStyle w:val="001000000000"/>
            <w:tcW w:w="1668" w:type="dxa"/>
          </w:tcPr>
          <w:p w:rsidR="00931318" w:rsidRPr="009E46E3" w:rsidRDefault="00931318" w:rsidP="00931318">
            <w:pPr>
              <w:spacing w:before="60" w:after="60"/>
              <w:rPr>
                <w:rFonts w:cs="Arial"/>
                <w:sz w:val="20"/>
                <w:szCs w:val="20"/>
              </w:rPr>
            </w:pPr>
            <w:r w:rsidRPr="009E46E3">
              <w:rPr>
                <w:rFonts w:cs="Arial"/>
                <w:sz w:val="20"/>
                <w:szCs w:val="20"/>
              </w:rPr>
              <w:t>Israel</w:t>
            </w:r>
          </w:p>
        </w:tc>
        <w:tc>
          <w:tcPr>
            <w:tcW w:w="2297" w:type="dxa"/>
          </w:tcPr>
          <w:p w:rsidR="00931318" w:rsidRPr="000B7DA2" w:rsidRDefault="00931318" w:rsidP="00931318">
            <w:pPr>
              <w:spacing w:before="40" w:after="40"/>
              <w:ind w:left="57"/>
              <w:cnfStyle w:val="000000000000"/>
            </w:pPr>
            <w:r w:rsidRPr="00B47257">
              <w:t>School (primary only)</w:t>
            </w:r>
          </w:p>
        </w:tc>
        <w:tc>
          <w:tcPr>
            <w:tcW w:w="3978" w:type="dxa"/>
          </w:tcPr>
          <w:p w:rsidR="00931318" w:rsidRPr="000B7DA2" w:rsidRDefault="00931318" w:rsidP="00931318">
            <w:pPr>
              <w:spacing w:before="40" w:after="40"/>
              <w:ind w:left="57"/>
              <w:cnfStyle w:val="000000000000"/>
            </w:pPr>
            <w:r w:rsidRPr="000B7DA2">
              <w:t>Parental education; parental income; immigrants; remoteness</w:t>
            </w:r>
          </w:p>
        </w:tc>
        <w:tc>
          <w:tcPr>
            <w:tcW w:w="1993" w:type="dxa"/>
          </w:tcPr>
          <w:p w:rsidR="00931318" w:rsidRDefault="00931318" w:rsidP="00931318">
            <w:pPr>
              <w:spacing w:before="40" w:after="40"/>
              <w:ind w:left="57"/>
              <w:cnfStyle w:val="000000000000"/>
            </w:pPr>
            <w:r w:rsidRPr="000B7DA2">
              <w:t>Implicit</w:t>
            </w:r>
          </w:p>
        </w:tc>
      </w:tr>
    </w:tbl>
    <w:p w:rsidR="00F7455E" w:rsidRDefault="00931318" w:rsidP="00F7455E">
      <w:pPr>
        <w:rPr>
          <w:rFonts w:cs="Arial"/>
          <w:sz w:val="20"/>
          <w:szCs w:val="20"/>
        </w:rPr>
      </w:pPr>
      <w:r w:rsidRPr="0015306C">
        <w:rPr>
          <w:rFonts w:cs="Arial"/>
          <w:i/>
          <w:sz w:val="20"/>
          <w:szCs w:val="20"/>
        </w:rPr>
        <w:t xml:space="preserve">Notes: </w:t>
      </w:r>
    </w:p>
    <w:p w:rsidR="00F7455E" w:rsidRDefault="00F7455E" w:rsidP="00F7455E">
      <w:pPr>
        <w:rPr>
          <w:rFonts w:cs="Arial"/>
          <w:sz w:val="20"/>
          <w:szCs w:val="20"/>
        </w:rPr>
      </w:pPr>
      <w:r>
        <w:rPr>
          <w:rFonts w:cs="Arial"/>
          <w:sz w:val="20"/>
          <w:szCs w:val="20"/>
        </w:rPr>
        <w:t>This table d</w:t>
      </w:r>
      <w:r w:rsidR="00931318" w:rsidRPr="0015306C">
        <w:rPr>
          <w:rFonts w:cs="Arial"/>
          <w:sz w:val="20"/>
          <w:szCs w:val="20"/>
        </w:rPr>
        <w:t xml:space="preserve">oes not include funding allocated for special needs or speakers of other languages. </w:t>
      </w:r>
    </w:p>
    <w:p w:rsidR="00931318" w:rsidRPr="0015306C" w:rsidRDefault="00931318" w:rsidP="00931318">
      <w:pPr>
        <w:spacing w:after="240"/>
        <w:rPr>
          <w:rFonts w:cs="Arial"/>
          <w:i/>
          <w:sz w:val="20"/>
          <w:szCs w:val="20"/>
        </w:rPr>
      </w:pPr>
      <w:r w:rsidRPr="0015306C">
        <w:rPr>
          <w:rFonts w:cs="Arial"/>
          <w:sz w:val="20"/>
          <w:szCs w:val="20"/>
        </w:rPr>
        <w:t>Many countries do not provide formula funding in relation to risk of educational under-achievement – this includes</w:t>
      </w:r>
      <w:r w:rsidRPr="0015306C">
        <w:rPr>
          <w:sz w:val="20"/>
          <w:szCs w:val="20"/>
        </w:rPr>
        <w:t xml:space="preserve"> </w:t>
      </w:r>
      <w:r w:rsidRPr="0015306C">
        <w:rPr>
          <w:rFonts w:cs="Arial"/>
          <w:sz w:val="20"/>
          <w:szCs w:val="20"/>
        </w:rPr>
        <w:t xml:space="preserve">Denmark, Finland, Greece, Italy, </w:t>
      </w:r>
      <w:r>
        <w:rPr>
          <w:rFonts w:cs="Arial"/>
          <w:sz w:val="20"/>
          <w:szCs w:val="20"/>
        </w:rPr>
        <w:t xml:space="preserve">Norway, </w:t>
      </w:r>
      <w:r w:rsidRPr="0015306C">
        <w:rPr>
          <w:rFonts w:cs="Arial"/>
          <w:sz w:val="20"/>
          <w:szCs w:val="20"/>
        </w:rPr>
        <w:t>Portugal, Sweden and Turkey.</w:t>
      </w:r>
    </w:p>
    <w:p w:rsidR="00CB6A43" w:rsidRPr="00062555" w:rsidRDefault="002F0A6A" w:rsidP="006735D7">
      <w:pPr>
        <w:pStyle w:val="MoEHeading1"/>
      </w:pPr>
      <w:r>
        <w:t>Overview of proposal for c</w:t>
      </w:r>
      <w:r w:rsidR="00F9142F" w:rsidRPr="00F9142F">
        <w:t>hange</w:t>
      </w:r>
      <w:bookmarkEnd w:id="6"/>
    </w:p>
    <w:p w:rsidR="00852CE5" w:rsidRDefault="00852CE5" w:rsidP="008A2385">
      <w:pPr>
        <w:pStyle w:val="TRBodyText"/>
        <w:jc w:val="both"/>
        <w:rPr>
          <w:rFonts w:cs="Arial"/>
          <w:szCs w:val="22"/>
        </w:rPr>
      </w:pPr>
    </w:p>
    <w:p w:rsidR="00FD7DA7" w:rsidRDefault="00D3444E" w:rsidP="008A2385">
      <w:pPr>
        <w:pStyle w:val="TRBodyText"/>
        <w:jc w:val="both"/>
        <w:rPr>
          <w:rFonts w:cs="Arial"/>
          <w:i/>
          <w:szCs w:val="22"/>
        </w:rPr>
      </w:pPr>
      <w:r>
        <w:rPr>
          <w:rFonts w:cs="Arial"/>
          <w:szCs w:val="22"/>
        </w:rPr>
        <w:t>The proposed direction</w:t>
      </w:r>
      <w:r w:rsidR="002F0A6A">
        <w:rPr>
          <w:rFonts w:cs="Arial"/>
          <w:szCs w:val="22"/>
        </w:rPr>
        <w:t xml:space="preserve"> for change </w:t>
      </w:r>
      <w:r w:rsidR="00807C4E">
        <w:rPr>
          <w:rFonts w:cs="Arial"/>
          <w:szCs w:val="22"/>
        </w:rPr>
        <w:t xml:space="preserve">is </w:t>
      </w:r>
      <w:r>
        <w:rPr>
          <w:rFonts w:cs="Arial"/>
          <w:szCs w:val="22"/>
        </w:rPr>
        <w:t xml:space="preserve">a funding model that includes </w:t>
      </w:r>
      <w:r w:rsidR="002F0A6A" w:rsidRPr="002F0A6A">
        <w:rPr>
          <w:rFonts w:cs="Arial"/>
          <w:i/>
          <w:szCs w:val="22"/>
        </w:rPr>
        <w:t xml:space="preserve">additional </w:t>
      </w:r>
      <w:r w:rsidR="007A5F73">
        <w:rPr>
          <w:rFonts w:cs="Arial"/>
          <w:i/>
          <w:szCs w:val="22"/>
        </w:rPr>
        <w:t>funding</w:t>
      </w:r>
      <w:r w:rsidR="002F0A6A" w:rsidRPr="002F0A6A">
        <w:rPr>
          <w:rFonts w:cs="Arial"/>
          <w:i/>
          <w:szCs w:val="22"/>
        </w:rPr>
        <w:t xml:space="preserve"> </w:t>
      </w:r>
      <w:r w:rsidR="00791E00">
        <w:rPr>
          <w:rFonts w:cs="Arial"/>
          <w:i/>
          <w:szCs w:val="22"/>
        </w:rPr>
        <w:t>in respect of</w:t>
      </w:r>
      <w:r w:rsidR="002F0A6A" w:rsidRPr="002F0A6A">
        <w:rPr>
          <w:rFonts w:cs="Arial"/>
          <w:i/>
          <w:szCs w:val="22"/>
        </w:rPr>
        <w:t xml:space="preserve"> children and young people </w:t>
      </w:r>
      <w:r w:rsidR="007A5F73" w:rsidRPr="007A5F73">
        <w:rPr>
          <w:rFonts w:cs="Arial"/>
          <w:i/>
          <w:szCs w:val="22"/>
        </w:rPr>
        <w:t xml:space="preserve">who meet the criteria </w:t>
      </w:r>
      <w:r w:rsidR="00A4532C">
        <w:rPr>
          <w:rFonts w:cs="Arial"/>
          <w:i/>
          <w:szCs w:val="22"/>
        </w:rPr>
        <w:t xml:space="preserve">associated with </w:t>
      </w:r>
      <w:r w:rsidR="007A5F73" w:rsidRPr="007A5F73">
        <w:rPr>
          <w:rFonts w:cs="Arial"/>
          <w:i/>
          <w:szCs w:val="22"/>
        </w:rPr>
        <w:t>being most at risk of educational under-achievement</w:t>
      </w:r>
      <w:r w:rsidR="002F0A6A">
        <w:rPr>
          <w:rFonts w:cs="Arial"/>
          <w:szCs w:val="22"/>
        </w:rPr>
        <w:t>.</w:t>
      </w:r>
      <w:r w:rsidR="002F0A6A" w:rsidRPr="002F0A6A">
        <w:rPr>
          <w:rFonts w:cs="Arial"/>
          <w:i/>
          <w:szCs w:val="22"/>
        </w:rPr>
        <w:t xml:space="preserve"> </w:t>
      </w:r>
    </w:p>
    <w:p w:rsidR="00FD7DA7" w:rsidRDefault="00FD7DA7" w:rsidP="008A2385">
      <w:pPr>
        <w:pStyle w:val="TRBodyText"/>
        <w:jc w:val="both"/>
        <w:rPr>
          <w:rFonts w:cs="Arial"/>
          <w:i/>
          <w:szCs w:val="22"/>
        </w:rPr>
      </w:pPr>
    </w:p>
    <w:p w:rsidR="000B6A84" w:rsidRDefault="002F0A6A" w:rsidP="008A2385">
      <w:pPr>
        <w:pStyle w:val="TRBodyText"/>
        <w:jc w:val="both"/>
        <w:rPr>
          <w:rFonts w:cs="Arial"/>
          <w:szCs w:val="22"/>
        </w:rPr>
      </w:pPr>
      <w:r>
        <w:rPr>
          <w:rFonts w:cs="Arial"/>
          <w:szCs w:val="22"/>
        </w:rPr>
        <w:t xml:space="preserve">This is </w:t>
      </w:r>
      <w:r w:rsidR="000B6A84">
        <w:rPr>
          <w:rFonts w:cs="Arial"/>
          <w:szCs w:val="22"/>
        </w:rPr>
        <w:t xml:space="preserve">intended to </w:t>
      </w:r>
      <w:r w:rsidR="000B6A84" w:rsidRPr="00537B48">
        <w:rPr>
          <w:rFonts w:cs="Arial"/>
          <w:szCs w:val="22"/>
        </w:rPr>
        <w:t>sharpen the focus of services</w:t>
      </w:r>
      <w:r w:rsidR="00151E1A">
        <w:rPr>
          <w:rFonts w:cs="Arial"/>
          <w:szCs w:val="22"/>
        </w:rPr>
        <w:t xml:space="preserve">, </w:t>
      </w:r>
      <w:r w:rsidR="000B6A84" w:rsidRPr="00537B48">
        <w:rPr>
          <w:rFonts w:cs="Arial"/>
          <w:szCs w:val="22"/>
        </w:rPr>
        <w:t xml:space="preserve">schools </w:t>
      </w:r>
      <w:r w:rsidR="00151E1A">
        <w:rPr>
          <w:rFonts w:cs="Arial"/>
          <w:szCs w:val="22"/>
        </w:rPr>
        <w:t xml:space="preserve">and Communities of Learning </w:t>
      </w:r>
      <w:r w:rsidR="000B6A84" w:rsidRPr="00537B48">
        <w:rPr>
          <w:rFonts w:cs="Arial"/>
          <w:szCs w:val="22"/>
        </w:rPr>
        <w:t xml:space="preserve">on </w:t>
      </w:r>
      <w:r w:rsidR="000B6A84">
        <w:rPr>
          <w:rFonts w:cs="Arial"/>
          <w:szCs w:val="22"/>
        </w:rPr>
        <w:t>children and young people</w:t>
      </w:r>
      <w:r w:rsidR="000B6A84" w:rsidRPr="00537B48">
        <w:rPr>
          <w:rFonts w:cs="Arial"/>
          <w:szCs w:val="22"/>
        </w:rPr>
        <w:t xml:space="preserve"> </w:t>
      </w:r>
      <w:r w:rsidR="000B6A84">
        <w:rPr>
          <w:rFonts w:cs="Arial"/>
          <w:szCs w:val="22"/>
        </w:rPr>
        <w:t xml:space="preserve">most </w:t>
      </w:r>
      <w:r w:rsidR="000B6A84" w:rsidRPr="00537B48">
        <w:rPr>
          <w:rFonts w:cs="Arial"/>
          <w:szCs w:val="22"/>
        </w:rPr>
        <w:t xml:space="preserve">at risk of educational under-achievement and strengthen the link between funding and </w:t>
      </w:r>
      <w:r w:rsidR="000B6A84">
        <w:rPr>
          <w:rFonts w:cs="Arial"/>
          <w:szCs w:val="22"/>
        </w:rPr>
        <w:t>the size of the education challenge.</w:t>
      </w:r>
      <w:r w:rsidR="00D3444E">
        <w:rPr>
          <w:rFonts w:cs="Arial"/>
          <w:szCs w:val="22"/>
        </w:rPr>
        <w:t xml:space="preserve"> </w:t>
      </w:r>
      <w:r w:rsidR="00CF26DC">
        <w:rPr>
          <w:rFonts w:cs="Arial"/>
          <w:szCs w:val="22"/>
        </w:rPr>
        <w:t>It</w:t>
      </w:r>
      <w:r w:rsidR="00D3444E">
        <w:rPr>
          <w:rFonts w:cs="Arial"/>
          <w:szCs w:val="22"/>
        </w:rPr>
        <w:t xml:space="preserve"> would replace TFEA, CIG and ECE Equity Funding Component A.</w:t>
      </w:r>
    </w:p>
    <w:p w:rsidR="00096EB8" w:rsidRDefault="00096EB8" w:rsidP="008A2385">
      <w:pPr>
        <w:pStyle w:val="TRBodyText"/>
        <w:jc w:val="both"/>
        <w:rPr>
          <w:rFonts w:cs="Arial"/>
          <w:szCs w:val="22"/>
        </w:rPr>
      </w:pPr>
    </w:p>
    <w:p w:rsidR="00804CEC" w:rsidRDefault="00CF26DC" w:rsidP="008A2385">
      <w:pPr>
        <w:jc w:val="both"/>
        <w:rPr>
          <w:rFonts w:cs="Arial"/>
        </w:rPr>
      </w:pPr>
      <w:r w:rsidRPr="00852CE5">
        <w:rPr>
          <w:rFonts w:cs="Arial"/>
        </w:rPr>
        <w:t>The proposed change</w:t>
      </w:r>
      <w:r w:rsidR="00807C4E" w:rsidRPr="00852CE5">
        <w:rPr>
          <w:rFonts w:cs="Arial"/>
        </w:rPr>
        <w:t xml:space="preserve"> involves a</w:t>
      </w:r>
      <w:r w:rsidR="000B6A84" w:rsidRPr="00852CE5">
        <w:rPr>
          <w:rFonts w:cs="Arial"/>
        </w:rPr>
        <w:t xml:space="preserve"> fundamental shift </w:t>
      </w:r>
      <w:r w:rsidR="00807C4E" w:rsidRPr="00852CE5">
        <w:rPr>
          <w:rFonts w:cs="Arial"/>
        </w:rPr>
        <w:t>to treat</w:t>
      </w:r>
      <w:r w:rsidR="000B6A84" w:rsidRPr="00852CE5">
        <w:rPr>
          <w:rFonts w:cs="Arial"/>
        </w:rPr>
        <w:t xml:space="preserve"> the children and young people within an ECE service or school as diverse, rather than uniform.</w:t>
      </w:r>
      <w:r w:rsidR="00807C4E" w:rsidRPr="00852CE5">
        <w:rPr>
          <w:rFonts w:cs="Arial"/>
        </w:rPr>
        <w:t xml:space="preserve"> Rather than</w:t>
      </w:r>
      <w:r w:rsidR="000B6A84" w:rsidRPr="00852CE5">
        <w:rPr>
          <w:rFonts w:cs="Arial"/>
        </w:rPr>
        <w:t xml:space="preserve"> children and young people’s risk characteristics </w:t>
      </w:r>
      <w:r w:rsidR="00807C4E" w:rsidRPr="00852CE5">
        <w:rPr>
          <w:rFonts w:cs="Arial"/>
        </w:rPr>
        <w:t>being</w:t>
      </w:r>
      <w:r w:rsidR="000B6A84" w:rsidRPr="00852CE5">
        <w:rPr>
          <w:rFonts w:cs="Arial"/>
        </w:rPr>
        <w:t xml:space="preserve"> aggregated to</w:t>
      </w:r>
      <w:r w:rsidR="00807C4E" w:rsidRPr="00852CE5">
        <w:rPr>
          <w:rFonts w:cs="Arial"/>
        </w:rPr>
        <w:t xml:space="preserve"> classify the service or school,</w:t>
      </w:r>
      <w:r w:rsidR="000B6A84" w:rsidRPr="00852CE5">
        <w:rPr>
          <w:rFonts w:cs="Arial"/>
        </w:rPr>
        <w:t xml:space="preserve"> </w:t>
      </w:r>
      <w:r w:rsidR="00807C4E" w:rsidRPr="00852CE5">
        <w:rPr>
          <w:rFonts w:cs="Arial"/>
        </w:rPr>
        <w:t>their</w:t>
      </w:r>
      <w:r w:rsidR="000B6A84" w:rsidRPr="00852CE5">
        <w:rPr>
          <w:rFonts w:cs="Arial"/>
        </w:rPr>
        <w:t xml:space="preserve"> characteristics </w:t>
      </w:r>
      <w:r w:rsidR="00807C4E" w:rsidRPr="00852CE5">
        <w:rPr>
          <w:rFonts w:cs="Arial"/>
        </w:rPr>
        <w:t xml:space="preserve">would </w:t>
      </w:r>
      <w:r w:rsidR="000B6A84" w:rsidRPr="00852CE5">
        <w:rPr>
          <w:rFonts w:cs="Arial"/>
        </w:rPr>
        <w:t xml:space="preserve">generate the additional </w:t>
      </w:r>
      <w:r w:rsidR="00C44FBE" w:rsidRPr="00852CE5">
        <w:rPr>
          <w:rFonts w:cs="Arial"/>
        </w:rPr>
        <w:t xml:space="preserve">funding </w:t>
      </w:r>
      <w:r w:rsidR="000B6A84" w:rsidRPr="00852CE5">
        <w:rPr>
          <w:rFonts w:cs="Arial"/>
        </w:rPr>
        <w:t xml:space="preserve">directly. </w:t>
      </w:r>
    </w:p>
    <w:p w:rsidR="008A2385" w:rsidRPr="00852CE5" w:rsidRDefault="008A2385" w:rsidP="008A2385">
      <w:pPr>
        <w:jc w:val="both"/>
        <w:rPr>
          <w:rFonts w:cs="Arial"/>
        </w:rPr>
      </w:pPr>
    </w:p>
    <w:p w:rsidR="00791E00" w:rsidRPr="00852CE5" w:rsidRDefault="00F5770F" w:rsidP="008A2385">
      <w:pPr>
        <w:jc w:val="both"/>
        <w:rPr>
          <w:rFonts w:cs="Arial"/>
        </w:rPr>
      </w:pPr>
      <w:r w:rsidRPr="00852CE5">
        <w:rPr>
          <w:rFonts w:cs="Arial"/>
        </w:rPr>
        <w:t>T</w:t>
      </w:r>
      <w:r w:rsidR="00791E00" w:rsidRPr="00852CE5">
        <w:rPr>
          <w:rFonts w:cs="Arial"/>
        </w:rPr>
        <w:t xml:space="preserve">his does not mean that the </w:t>
      </w:r>
      <w:r w:rsidR="00C44FBE" w:rsidRPr="00852CE5">
        <w:rPr>
          <w:rFonts w:cs="Arial"/>
        </w:rPr>
        <w:t>additiona</w:t>
      </w:r>
      <w:r w:rsidR="00CF26DC" w:rsidRPr="00852CE5">
        <w:rPr>
          <w:rFonts w:cs="Arial"/>
        </w:rPr>
        <w:t>l funding</w:t>
      </w:r>
      <w:r w:rsidR="00791E00" w:rsidRPr="00852CE5">
        <w:rPr>
          <w:rFonts w:cs="Arial"/>
        </w:rPr>
        <w:t xml:space="preserve"> would become a voucher for the benefit of a particular child or young person. It is still a way of generating additional resources for a school or ECE service for them to meet the educational achievement challenges that they face in general.</w:t>
      </w:r>
    </w:p>
    <w:p w:rsidR="007A5F73" w:rsidRDefault="007A5F73" w:rsidP="007A5F73">
      <w:pPr>
        <w:jc w:val="both"/>
        <w:rPr>
          <w:rFonts w:cs="Arial"/>
        </w:rPr>
      </w:pPr>
    </w:p>
    <w:p w:rsidR="00F5770F" w:rsidRPr="00852CE5" w:rsidRDefault="00F5770F" w:rsidP="008A2385">
      <w:pPr>
        <w:spacing w:after="240"/>
        <w:jc w:val="both"/>
        <w:rPr>
          <w:rFonts w:cs="Arial"/>
        </w:rPr>
      </w:pPr>
      <w:r w:rsidRPr="00852CE5">
        <w:rPr>
          <w:rFonts w:cs="Arial"/>
        </w:rPr>
        <w:t>Nevertheless, t</w:t>
      </w:r>
      <w:r w:rsidR="000B6A84" w:rsidRPr="00852CE5">
        <w:rPr>
          <w:rFonts w:cs="Arial"/>
        </w:rPr>
        <w:t xml:space="preserve">here </w:t>
      </w:r>
      <w:r w:rsidR="00807C4E" w:rsidRPr="00852CE5">
        <w:rPr>
          <w:rFonts w:cs="Arial"/>
        </w:rPr>
        <w:t xml:space="preserve">would </w:t>
      </w:r>
      <w:r w:rsidR="000B6A84" w:rsidRPr="00852CE5">
        <w:rPr>
          <w:rFonts w:cs="Arial"/>
        </w:rPr>
        <w:t xml:space="preserve">no </w:t>
      </w:r>
      <w:r w:rsidR="00807C4E" w:rsidRPr="00852CE5">
        <w:rPr>
          <w:rFonts w:cs="Arial"/>
        </w:rPr>
        <w:t xml:space="preserve">longer be an </w:t>
      </w:r>
      <w:r w:rsidR="000B6A84" w:rsidRPr="00852CE5">
        <w:rPr>
          <w:rFonts w:cs="Arial"/>
        </w:rPr>
        <w:t xml:space="preserve">aggregate classification for </w:t>
      </w:r>
      <w:r w:rsidR="00807C4E" w:rsidRPr="00852CE5">
        <w:rPr>
          <w:rFonts w:cs="Arial"/>
        </w:rPr>
        <w:t>each</w:t>
      </w:r>
      <w:r w:rsidR="000B6A84" w:rsidRPr="00852CE5">
        <w:rPr>
          <w:rFonts w:cs="Arial"/>
        </w:rPr>
        <w:t xml:space="preserve"> service or school, and the additional </w:t>
      </w:r>
      <w:r w:rsidR="00C44FBE" w:rsidRPr="00852CE5">
        <w:rPr>
          <w:rFonts w:cs="Arial"/>
        </w:rPr>
        <w:t xml:space="preserve">funding amount </w:t>
      </w:r>
      <w:r w:rsidR="00807C4E" w:rsidRPr="00852CE5">
        <w:rPr>
          <w:rFonts w:cs="Arial"/>
        </w:rPr>
        <w:t>would be</w:t>
      </w:r>
      <w:r w:rsidR="000B6A84" w:rsidRPr="00852CE5">
        <w:rPr>
          <w:rFonts w:cs="Arial"/>
        </w:rPr>
        <w:t xml:space="preserve"> paid only in respect of children or young people who </w:t>
      </w:r>
      <w:r w:rsidR="00274993" w:rsidRPr="00852CE5">
        <w:rPr>
          <w:rFonts w:cs="Arial"/>
        </w:rPr>
        <w:t xml:space="preserve">meet the criteria for being </w:t>
      </w:r>
      <w:r w:rsidR="00CF26DC" w:rsidRPr="00852CE5">
        <w:rPr>
          <w:rFonts w:cs="Arial"/>
        </w:rPr>
        <w:t xml:space="preserve">most </w:t>
      </w:r>
      <w:r w:rsidR="000B6A84" w:rsidRPr="00F9142F">
        <w:t>at risk of educational under-achievement</w:t>
      </w:r>
      <w:r w:rsidR="000B6A84" w:rsidRPr="00852CE5">
        <w:rPr>
          <w:rFonts w:cs="Arial"/>
        </w:rPr>
        <w:t xml:space="preserve">. This distinction is illustrated in the simplified scenario in </w:t>
      </w:r>
      <w:fldSimple w:instr=" REF _Ref449003105 \h  \* MERGEFORMAT ">
        <w:r w:rsidR="00912CD2" w:rsidRPr="00912CD2">
          <w:t>Table 2</w:t>
        </w:r>
      </w:fldSimple>
      <w:r w:rsidR="000B6A84" w:rsidRPr="00852CE5">
        <w:rPr>
          <w:rFonts w:cs="Arial"/>
        </w:rPr>
        <w:t>.</w:t>
      </w:r>
    </w:p>
    <w:p w:rsidR="000B6A84" w:rsidRDefault="000B6A84" w:rsidP="000025B5">
      <w:pPr>
        <w:pStyle w:val="Caption"/>
        <w:keepNext/>
        <w:spacing w:after="60"/>
        <w:ind w:right="-198"/>
        <w:rPr>
          <w:rFonts w:ascii="Arial" w:hAnsi="Arial" w:cs="Arial"/>
          <w:color w:val="000000" w:themeColor="text1"/>
          <w:sz w:val="22"/>
          <w:szCs w:val="22"/>
        </w:rPr>
      </w:pPr>
      <w:bookmarkStart w:id="9" w:name="_Ref449003105"/>
      <w:r w:rsidRPr="000025B5">
        <w:rPr>
          <w:rFonts w:ascii="Arial" w:hAnsi="Arial" w:cs="Arial"/>
          <w:color w:val="000000" w:themeColor="text1"/>
          <w:sz w:val="22"/>
          <w:szCs w:val="22"/>
        </w:rPr>
        <w:t xml:space="preserve">Table </w:t>
      </w:r>
      <w:r w:rsidR="0072202C" w:rsidRPr="000025B5">
        <w:rPr>
          <w:rFonts w:ascii="Arial" w:hAnsi="Arial" w:cs="Arial"/>
          <w:color w:val="000000" w:themeColor="text1"/>
          <w:sz w:val="22"/>
          <w:szCs w:val="22"/>
        </w:rPr>
        <w:fldChar w:fldCharType="begin"/>
      </w:r>
      <w:r w:rsidR="000A48E6" w:rsidRPr="000025B5">
        <w:rPr>
          <w:rFonts w:ascii="Arial" w:hAnsi="Arial" w:cs="Arial"/>
          <w:color w:val="000000" w:themeColor="text1"/>
          <w:sz w:val="22"/>
          <w:szCs w:val="22"/>
        </w:rPr>
        <w:instrText xml:space="preserve"> SEQ Table \* ARABIC </w:instrText>
      </w:r>
      <w:r w:rsidR="0072202C" w:rsidRPr="000025B5">
        <w:rPr>
          <w:rFonts w:ascii="Arial" w:hAnsi="Arial" w:cs="Arial"/>
          <w:color w:val="000000" w:themeColor="text1"/>
          <w:sz w:val="22"/>
          <w:szCs w:val="22"/>
        </w:rPr>
        <w:fldChar w:fldCharType="separate"/>
      </w:r>
      <w:r w:rsidR="00912CD2" w:rsidRPr="000025B5">
        <w:rPr>
          <w:rFonts w:ascii="Arial" w:hAnsi="Arial" w:cs="Arial"/>
          <w:noProof/>
          <w:color w:val="000000" w:themeColor="text1"/>
          <w:sz w:val="22"/>
          <w:szCs w:val="22"/>
        </w:rPr>
        <w:t>2</w:t>
      </w:r>
      <w:r w:rsidR="0072202C" w:rsidRPr="000025B5">
        <w:rPr>
          <w:rFonts w:ascii="Arial" w:hAnsi="Arial" w:cs="Arial"/>
          <w:color w:val="000000" w:themeColor="text1"/>
          <w:sz w:val="22"/>
          <w:szCs w:val="22"/>
        </w:rPr>
        <w:fldChar w:fldCharType="end"/>
      </w:r>
      <w:bookmarkEnd w:id="9"/>
      <w:r w:rsidR="008A2385" w:rsidRPr="000025B5">
        <w:rPr>
          <w:rFonts w:ascii="Arial" w:hAnsi="Arial" w:cs="Arial"/>
          <w:color w:val="000000" w:themeColor="text1"/>
          <w:sz w:val="22"/>
          <w:szCs w:val="22"/>
        </w:rPr>
        <w:t>:</w:t>
      </w:r>
      <w:r w:rsidRPr="000025B5">
        <w:rPr>
          <w:rFonts w:ascii="Arial" w:hAnsi="Arial" w:cs="Arial"/>
          <w:color w:val="000000" w:themeColor="text1"/>
          <w:sz w:val="22"/>
          <w:szCs w:val="22"/>
        </w:rPr>
        <w:t xml:space="preserve"> Simplified scenario showing the difference between </w:t>
      </w:r>
      <w:r w:rsidR="007A5F73" w:rsidRPr="000025B5">
        <w:rPr>
          <w:rFonts w:ascii="Arial" w:hAnsi="Arial" w:cs="Arial"/>
          <w:color w:val="000000" w:themeColor="text1"/>
          <w:sz w:val="22"/>
          <w:szCs w:val="22"/>
        </w:rPr>
        <w:t>‘aggregated’</w:t>
      </w:r>
      <w:r w:rsidRPr="000025B5">
        <w:rPr>
          <w:rFonts w:ascii="Arial" w:hAnsi="Arial" w:cs="Arial"/>
          <w:color w:val="000000" w:themeColor="text1"/>
          <w:sz w:val="22"/>
          <w:szCs w:val="22"/>
        </w:rPr>
        <w:t xml:space="preserve"> and </w:t>
      </w:r>
      <w:r w:rsidR="004041ED" w:rsidRPr="000025B5">
        <w:rPr>
          <w:rFonts w:ascii="Arial" w:hAnsi="Arial" w:cs="Arial"/>
          <w:color w:val="000000" w:themeColor="text1"/>
          <w:sz w:val="22"/>
          <w:szCs w:val="22"/>
        </w:rPr>
        <w:t xml:space="preserve">more </w:t>
      </w:r>
      <w:r w:rsidRPr="000025B5">
        <w:rPr>
          <w:rFonts w:ascii="Arial" w:hAnsi="Arial" w:cs="Arial"/>
          <w:color w:val="000000" w:themeColor="text1"/>
          <w:sz w:val="22"/>
          <w:szCs w:val="22"/>
        </w:rPr>
        <w:t>'individual</w:t>
      </w:r>
      <w:r w:rsidR="00C80423" w:rsidRPr="000025B5">
        <w:rPr>
          <w:rFonts w:ascii="Arial" w:hAnsi="Arial" w:cs="Arial"/>
          <w:color w:val="000000" w:themeColor="text1"/>
          <w:sz w:val="22"/>
          <w:szCs w:val="22"/>
        </w:rPr>
        <w:t>-bas</w:t>
      </w:r>
      <w:r w:rsidRPr="000025B5">
        <w:rPr>
          <w:rFonts w:ascii="Arial" w:hAnsi="Arial" w:cs="Arial"/>
          <w:color w:val="000000" w:themeColor="text1"/>
          <w:sz w:val="22"/>
          <w:szCs w:val="22"/>
        </w:rPr>
        <w:t>ed' approaches</w:t>
      </w:r>
    </w:p>
    <w:p w:rsidR="000025B5" w:rsidRPr="000025B5" w:rsidRDefault="000025B5" w:rsidP="000025B5">
      <w:pPr>
        <w:rPr>
          <w:lang w:val="en-AU"/>
        </w:rPr>
      </w:pPr>
    </w:p>
    <w:tbl>
      <w:tblPr>
        <w:tblStyle w:val="FiveGoals"/>
        <w:tblW w:w="0" w:type="auto"/>
        <w:jc w:val="center"/>
        <w:tblLook w:val="0400"/>
      </w:tblPr>
      <w:tblGrid>
        <w:gridCol w:w="1526"/>
        <w:gridCol w:w="2060"/>
        <w:gridCol w:w="1375"/>
        <w:gridCol w:w="2061"/>
        <w:gridCol w:w="1733"/>
      </w:tblGrid>
      <w:tr w:rsidR="000B6A84" w:rsidTr="00096EB8">
        <w:trPr>
          <w:jc w:val="center"/>
        </w:trPr>
        <w:tc>
          <w:tcPr>
            <w:tcW w:w="8755" w:type="dxa"/>
            <w:gridSpan w:val="5"/>
          </w:tcPr>
          <w:p w:rsidR="000B6A84" w:rsidRPr="000B6A84" w:rsidRDefault="007A5F73" w:rsidP="007A5F73">
            <w:pPr>
              <w:spacing w:before="0" w:after="0"/>
              <w:rPr>
                <w:rFonts w:cs="Arial"/>
                <w:b/>
              </w:rPr>
            </w:pPr>
            <w:r>
              <w:rPr>
                <w:b/>
              </w:rPr>
              <w:t>Example of an 'aggregated</w:t>
            </w:r>
            <w:r w:rsidR="000B6A84" w:rsidRPr="000B6A84">
              <w:rPr>
                <w:b/>
              </w:rPr>
              <w:t>' approach</w:t>
            </w:r>
          </w:p>
        </w:tc>
      </w:tr>
      <w:tr w:rsidR="000B6A84" w:rsidTr="00096EB8">
        <w:trPr>
          <w:jc w:val="center"/>
        </w:trPr>
        <w:tc>
          <w:tcPr>
            <w:tcW w:w="1526" w:type="dxa"/>
          </w:tcPr>
          <w:p w:rsidR="000B6A84" w:rsidRDefault="000B6A84" w:rsidP="00815AFF">
            <w:pPr>
              <w:spacing w:before="0" w:after="0"/>
              <w:jc w:val="center"/>
              <w:rPr>
                <w:rFonts w:cs="Arial"/>
              </w:rPr>
            </w:pPr>
            <w:r>
              <w:rPr>
                <w:rFonts w:cs="Arial"/>
              </w:rPr>
              <w:t>Number of children</w:t>
            </w:r>
          </w:p>
        </w:tc>
        <w:tc>
          <w:tcPr>
            <w:tcW w:w="2060" w:type="dxa"/>
          </w:tcPr>
          <w:p w:rsidR="000B6A84" w:rsidRDefault="000B6A84" w:rsidP="00815AFF">
            <w:pPr>
              <w:spacing w:before="0" w:after="0"/>
              <w:jc w:val="center"/>
              <w:rPr>
                <w:rFonts w:cs="Arial"/>
              </w:rPr>
            </w:pPr>
            <w:r>
              <w:rPr>
                <w:rFonts w:cs="Arial"/>
              </w:rPr>
              <w:t xml:space="preserve">Number of children at  risk   </w:t>
            </w:r>
            <w:r w:rsidRPr="000B6A84">
              <w:rPr>
                <w:rFonts w:cs="Arial"/>
              </w:rPr>
              <w:sym w:font="Wingdings" w:char="F0E8"/>
            </w:r>
          </w:p>
        </w:tc>
        <w:tc>
          <w:tcPr>
            <w:tcW w:w="1375" w:type="dxa"/>
          </w:tcPr>
          <w:p w:rsidR="000B6A84" w:rsidRDefault="000B6A84" w:rsidP="00815AFF">
            <w:pPr>
              <w:spacing w:before="0" w:after="0"/>
              <w:jc w:val="center"/>
              <w:rPr>
                <w:rFonts w:cs="Arial"/>
              </w:rPr>
            </w:pPr>
            <w:r>
              <w:rPr>
                <w:rFonts w:cs="Arial"/>
              </w:rPr>
              <w:t xml:space="preserve">Incidence of risk   </w:t>
            </w:r>
            <w:r w:rsidRPr="000B6A84">
              <w:rPr>
                <w:rFonts w:cs="Arial"/>
              </w:rPr>
              <w:sym w:font="Wingdings" w:char="F0E8"/>
            </w:r>
          </w:p>
        </w:tc>
        <w:tc>
          <w:tcPr>
            <w:tcW w:w="2061" w:type="dxa"/>
          </w:tcPr>
          <w:p w:rsidR="000B6A84" w:rsidRDefault="000B6A84" w:rsidP="00815AFF">
            <w:pPr>
              <w:spacing w:before="0" w:after="0"/>
              <w:jc w:val="center"/>
              <w:rPr>
                <w:rFonts w:cs="Arial"/>
              </w:rPr>
            </w:pPr>
            <w:r>
              <w:rPr>
                <w:rFonts w:cs="Arial"/>
              </w:rPr>
              <w:t>Rate of payment</w:t>
            </w:r>
          </w:p>
          <w:p w:rsidR="000B6A84" w:rsidRDefault="000B6A84" w:rsidP="00815AFF">
            <w:pPr>
              <w:spacing w:before="0" w:after="0"/>
              <w:jc w:val="center"/>
              <w:rPr>
                <w:rFonts w:cs="Arial"/>
              </w:rPr>
            </w:pPr>
            <w:r>
              <w:rPr>
                <w:rFonts w:cs="Arial"/>
              </w:rPr>
              <w:t>(a, b, c, d etc . . . )</w:t>
            </w:r>
          </w:p>
        </w:tc>
        <w:tc>
          <w:tcPr>
            <w:tcW w:w="1733" w:type="dxa"/>
          </w:tcPr>
          <w:p w:rsidR="000B6A84" w:rsidRDefault="000B6A84" w:rsidP="00815AFF">
            <w:pPr>
              <w:spacing w:before="0" w:after="0"/>
              <w:jc w:val="center"/>
              <w:rPr>
                <w:rFonts w:cs="Arial"/>
              </w:rPr>
            </w:pPr>
            <w:r>
              <w:rPr>
                <w:rFonts w:cs="Arial"/>
              </w:rPr>
              <w:t>Assistance provided</w:t>
            </w:r>
          </w:p>
        </w:tc>
      </w:tr>
      <w:tr w:rsidR="000B6A84" w:rsidTr="00096EB8">
        <w:trPr>
          <w:jc w:val="center"/>
        </w:trPr>
        <w:tc>
          <w:tcPr>
            <w:tcW w:w="1526" w:type="dxa"/>
          </w:tcPr>
          <w:p w:rsidR="000B6A84" w:rsidRDefault="000B6A84" w:rsidP="00815AFF">
            <w:pPr>
              <w:spacing w:before="0" w:after="0"/>
              <w:jc w:val="center"/>
              <w:rPr>
                <w:rFonts w:cs="Arial"/>
              </w:rPr>
            </w:pPr>
            <w:r>
              <w:rPr>
                <w:rFonts w:cs="Arial"/>
              </w:rPr>
              <w:t>10</w:t>
            </w:r>
          </w:p>
        </w:tc>
        <w:tc>
          <w:tcPr>
            <w:tcW w:w="2060" w:type="dxa"/>
          </w:tcPr>
          <w:p w:rsidR="000B6A84" w:rsidRDefault="000B6A84" w:rsidP="00815AFF">
            <w:pPr>
              <w:spacing w:before="0" w:after="0"/>
              <w:jc w:val="center"/>
              <w:rPr>
                <w:rFonts w:cs="Arial"/>
              </w:rPr>
            </w:pPr>
            <w:r>
              <w:rPr>
                <w:rFonts w:cs="Arial"/>
              </w:rPr>
              <w:t>6</w:t>
            </w:r>
          </w:p>
        </w:tc>
        <w:tc>
          <w:tcPr>
            <w:tcW w:w="1375" w:type="dxa"/>
          </w:tcPr>
          <w:p w:rsidR="000B6A84" w:rsidRDefault="000B6A84" w:rsidP="00815AFF">
            <w:pPr>
              <w:spacing w:before="0" w:after="0"/>
              <w:jc w:val="center"/>
              <w:rPr>
                <w:rFonts w:cs="Arial"/>
              </w:rPr>
            </w:pPr>
            <w:r>
              <w:rPr>
                <w:rFonts w:cs="Arial"/>
              </w:rPr>
              <w:t>6 / 10</w:t>
            </w:r>
          </w:p>
        </w:tc>
        <w:tc>
          <w:tcPr>
            <w:tcW w:w="2061" w:type="dxa"/>
          </w:tcPr>
          <w:p w:rsidR="000B6A84" w:rsidRPr="000B6A84" w:rsidRDefault="000B6A84" w:rsidP="00815AFF">
            <w:pPr>
              <w:spacing w:before="0" w:after="0"/>
              <w:jc w:val="center"/>
              <w:rPr>
                <w:rFonts w:cs="Arial"/>
                <w:i/>
              </w:rPr>
            </w:pPr>
            <w:r w:rsidRPr="000B6A84">
              <w:rPr>
                <w:rFonts w:cs="Arial"/>
                <w:i/>
              </w:rPr>
              <w:t>c</w:t>
            </w:r>
          </w:p>
        </w:tc>
        <w:tc>
          <w:tcPr>
            <w:tcW w:w="1733" w:type="dxa"/>
          </w:tcPr>
          <w:p w:rsidR="000B6A84" w:rsidRDefault="000B6A84" w:rsidP="00815AFF">
            <w:pPr>
              <w:spacing w:before="0" w:after="0"/>
              <w:jc w:val="center"/>
              <w:rPr>
                <w:rFonts w:cs="Arial"/>
              </w:rPr>
            </w:pPr>
            <w:r>
              <w:rPr>
                <w:rFonts w:cs="Arial"/>
              </w:rPr>
              <w:t xml:space="preserve">10 x </w:t>
            </w:r>
            <w:r w:rsidRPr="000B6A84">
              <w:rPr>
                <w:rFonts w:cs="Arial"/>
                <w:i/>
              </w:rPr>
              <w:t>c</w:t>
            </w:r>
          </w:p>
        </w:tc>
      </w:tr>
      <w:tr w:rsidR="000B6A84" w:rsidTr="00096EB8">
        <w:trPr>
          <w:jc w:val="center"/>
        </w:trPr>
        <w:tc>
          <w:tcPr>
            <w:tcW w:w="8755" w:type="dxa"/>
            <w:gridSpan w:val="5"/>
          </w:tcPr>
          <w:p w:rsidR="000B6A84" w:rsidRPr="000B6A84" w:rsidRDefault="000B6A84" w:rsidP="00815AFF">
            <w:pPr>
              <w:spacing w:before="0" w:after="0"/>
              <w:rPr>
                <w:b/>
                <w:sz w:val="6"/>
                <w:szCs w:val="6"/>
              </w:rPr>
            </w:pPr>
          </w:p>
          <w:p w:rsidR="000B6A84" w:rsidRDefault="000B6A84" w:rsidP="00815AFF">
            <w:pPr>
              <w:spacing w:before="0" w:after="0"/>
              <w:rPr>
                <w:rFonts w:cs="Arial"/>
              </w:rPr>
            </w:pPr>
            <w:r w:rsidRPr="000B6A84">
              <w:rPr>
                <w:b/>
              </w:rPr>
              <w:t>Example of a</w:t>
            </w:r>
            <w:r>
              <w:rPr>
                <w:b/>
              </w:rPr>
              <w:t xml:space="preserve"> pure</w:t>
            </w:r>
            <w:r w:rsidRPr="000B6A84">
              <w:rPr>
                <w:b/>
              </w:rPr>
              <w:t xml:space="preserve"> '</w:t>
            </w:r>
            <w:r w:rsidR="00C80423">
              <w:rPr>
                <w:b/>
              </w:rPr>
              <w:t>individual-based</w:t>
            </w:r>
            <w:r w:rsidRPr="000B6A84">
              <w:rPr>
                <w:b/>
              </w:rPr>
              <w:t>' approach</w:t>
            </w:r>
          </w:p>
        </w:tc>
      </w:tr>
      <w:tr w:rsidR="000B6A84" w:rsidTr="00096EB8">
        <w:trPr>
          <w:jc w:val="center"/>
        </w:trPr>
        <w:tc>
          <w:tcPr>
            <w:tcW w:w="1526" w:type="dxa"/>
          </w:tcPr>
          <w:p w:rsidR="000B6A84" w:rsidRDefault="000B6A84" w:rsidP="00815AFF">
            <w:pPr>
              <w:spacing w:before="0" w:after="0"/>
              <w:jc w:val="center"/>
              <w:rPr>
                <w:rFonts w:cs="Arial"/>
              </w:rPr>
            </w:pPr>
            <w:r>
              <w:rPr>
                <w:rFonts w:cs="Arial"/>
              </w:rPr>
              <w:t>Number of children</w:t>
            </w:r>
          </w:p>
        </w:tc>
        <w:tc>
          <w:tcPr>
            <w:tcW w:w="2060" w:type="dxa"/>
          </w:tcPr>
          <w:p w:rsidR="000B6A84" w:rsidRDefault="000B6A84" w:rsidP="00815AFF">
            <w:pPr>
              <w:spacing w:before="0" w:after="0"/>
              <w:jc w:val="center"/>
              <w:rPr>
                <w:rFonts w:cs="Arial"/>
              </w:rPr>
            </w:pPr>
            <w:r>
              <w:rPr>
                <w:rFonts w:cs="Arial"/>
              </w:rPr>
              <w:t xml:space="preserve">Number of children at  risk   </w:t>
            </w:r>
            <w:r w:rsidRPr="000B6A84">
              <w:rPr>
                <w:rFonts w:cs="Arial"/>
              </w:rPr>
              <w:sym w:font="Wingdings" w:char="F0E8"/>
            </w:r>
          </w:p>
        </w:tc>
        <w:tc>
          <w:tcPr>
            <w:tcW w:w="1375" w:type="dxa"/>
          </w:tcPr>
          <w:p w:rsidR="000B6A84" w:rsidRDefault="000B6A84" w:rsidP="00815AFF">
            <w:pPr>
              <w:spacing w:before="0" w:after="0"/>
              <w:ind w:left="0"/>
              <w:jc w:val="right"/>
              <w:rPr>
                <w:rFonts w:cs="Arial"/>
              </w:rPr>
            </w:pPr>
          </w:p>
        </w:tc>
        <w:tc>
          <w:tcPr>
            <w:tcW w:w="2061" w:type="dxa"/>
          </w:tcPr>
          <w:p w:rsidR="000B6A84" w:rsidRDefault="000B6A84" w:rsidP="00815AFF">
            <w:pPr>
              <w:spacing w:before="0" w:after="0"/>
              <w:jc w:val="center"/>
              <w:rPr>
                <w:rFonts w:cs="Arial"/>
              </w:rPr>
            </w:pPr>
            <w:r>
              <w:rPr>
                <w:rFonts w:cs="Arial"/>
              </w:rPr>
              <w:t>Standard rate of payment</w:t>
            </w:r>
            <w:r w:rsidR="00807C4E">
              <w:rPr>
                <w:rFonts w:cs="Arial"/>
              </w:rPr>
              <w:t xml:space="preserve"> (y)</w:t>
            </w:r>
          </w:p>
        </w:tc>
        <w:tc>
          <w:tcPr>
            <w:tcW w:w="1733" w:type="dxa"/>
          </w:tcPr>
          <w:p w:rsidR="000B6A84" w:rsidRDefault="000B6A84" w:rsidP="00815AFF">
            <w:pPr>
              <w:spacing w:before="0" w:after="0"/>
              <w:jc w:val="center"/>
              <w:rPr>
                <w:rFonts w:cs="Arial"/>
              </w:rPr>
            </w:pPr>
            <w:r>
              <w:rPr>
                <w:rFonts w:cs="Arial"/>
              </w:rPr>
              <w:t>Assistance provided</w:t>
            </w:r>
          </w:p>
        </w:tc>
      </w:tr>
      <w:tr w:rsidR="000B6A84" w:rsidTr="00096EB8">
        <w:trPr>
          <w:jc w:val="center"/>
        </w:trPr>
        <w:tc>
          <w:tcPr>
            <w:tcW w:w="1526" w:type="dxa"/>
          </w:tcPr>
          <w:p w:rsidR="000B6A84" w:rsidRDefault="000B6A84" w:rsidP="00815AFF">
            <w:pPr>
              <w:spacing w:before="0" w:after="0"/>
              <w:jc w:val="center"/>
              <w:rPr>
                <w:rFonts w:cs="Arial"/>
              </w:rPr>
            </w:pPr>
            <w:r>
              <w:rPr>
                <w:rFonts w:cs="Arial"/>
              </w:rPr>
              <w:t>10</w:t>
            </w:r>
          </w:p>
        </w:tc>
        <w:tc>
          <w:tcPr>
            <w:tcW w:w="2060" w:type="dxa"/>
          </w:tcPr>
          <w:p w:rsidR="000B6A84" w:rsidRDefault="000B6A84" w:rsidP="00815AFF">
            <w:pPr>
              <w:spacing w:before="0" w:after="0"/>
              <w:jc w:val="center"/>
              <w:rPr>
                <w:rFonts w:cs="Arial"/>
              </w:rPr>
            </w:pPr>
            <w:r>
              <w:rPr>
                <w:rFonts w:cs="Arial"/>
              </w:rPr>
              <w:t>6</w:t>
            </w:r>
          </w:p>
        </w:tc>
        <w:tc>
          <w:tcPr>
            <w:tcW w:w="1375" w:type="dxa"/>
          </w:tcPr>
          <w:p w:rsidR="000B6A84" w:rsidRDefault="000B6A84" w:rsidP="00815AFF">
            <w:pPr>
              <w:spacing w:before="0" w:after="0"/>
              <w:jc w:val="center"/>
              <w:rPr>
                <w:rFonts w:cs="Arial"/>
              </w:rPr>
            </w:pPr>
          </w:p>
        </w:tc>
        <w:tc>
          <w:tcPr>
            <w:tcW w:w="2061" w:type="dxa"/>
          </w:tcPr>
          <w:p w:rsidR="000B6A84" w:rsidRPr="000B6A84" w:rsidRDefault="003A1309" w:rsidP="00815AFF">
            <w:pPr>
              <w:spacing w:before="0" w:after="0"/>
              <w:jc w:val="center"/>
              <w:rPr>
                <w:rFonts w:cs="Arial"/>
                <w:i/>
              </w:rPr>
            </w:pPr>
            <w:r>
              <w:rPr>
                <w:rFonts w:cs="Arial"/>
                <w:i/>
              </w:rPr>
              <w:t>y</w:t>
            </w:r>
          </w:p>
        </w:tc>
        <w:tc>
          <w:tcPr>
            <w:tcW w:w="1733" w:type="dxa"/>
          </w:tcPr>
          <w:p w:rsidR="000B6A84" w:rsidRDefault="000B6A84" w:rsidP="00815AFF">
            <w:pPr>
              <w:spacing w:before="0" w:after="0"/>
              <w:jc w:val="center"/>
              <w:rPr>
                <w:rFonts w:cs="Arial"/>
              </w:rPr>
            </w:pPr>
            <w:r>
              <w:rPr>
                <w:rFonts w:cs="Arial"/>
              </w:rPr>
              <w:t xml:space="preserve">6 x </w:t>
            </w:r>
            <w:r w:rsidR="003A1309">
              <w:rPr>
                <w:rFonts w:cs="Arial"/>
                <w:i/>
              </w:rPr>
              <w:t>y</w:t>
            </w:r>
          </w:p>
        </w:tc>
      </w:tr>
    </w:tbl>
    <w:p w:rsidR="000B6A84" w:rsidRPr="000B6A84" w:rsidRDefault="000B6A84" w:rsidP="004A2B55">
      <w:pPr>
        <w:rPr>
          <w:rFonts w:cs="Arial"/>
        </w:rPr>
      </w:pPr>
    </w:p>
    <w:p w:rsidR="000B6A84" w:rsidRDefault="00F5770F" w:rsidP="008A2385">
      <w:pPr>
        <w:jc w:val="both"/>
        <w:rPr>
          <w:rFonts w:cs="Arial"/>
        </w:rPr>
      </w:pPr>
      <w:r w:rsidRPr="00852CE5">
        <w:rPr>
          <w:rFonts w:cs="Arial"/>
        </w:rPr>
        <w:t>T</w:t>
      </w:r>
      <w:r w:rsidR="000B6A84" w:rsidRPr="00852CE5">
        <w:rPr>
          <w:rFonts w:cs="Arial"/>
        </w:rPr>
        <w:t xml:space="preserve">he </w:t>
      </w:r>
      <w:r w:rsidR="00CF26DC" w:rsidRPr="00852CE5">
        <w:rPr>
          <w:rFonts w:cs="Arial"/>
        </w:rPr>
        <w:t xml:space="preserve">change recognises </w:t>
      </w:r>
      <w:r w:rsidR="003439DB" w:rsidRPr="00852CE5">
        <w:rPr>
          <w:rFonts w:cs="Arial"/>
        </w:rPr>
        <w:t>that there are both higher</w:t>
      </w:r>
      <w:r w:rsidR="000B6A84" w:rsidRPr="00852CE5">
        <w:rPr>
          <w:rFonts w:cs="Arial"/>
        </w:rPr>
        <w:t xml:space="preserve">-risk and </w:t>
      </w:r>
      <w:r w:rsidR="003439DB" w:rsidRPr="00852CE5">
        <w:rPr>
          <w:rFonts w:cs="Arial"/>
        </w:rPr>
        <w:t>lower</w:t>
      </w:r>
      <w:r w:rsidR="000B6A84" w:rsidRPr="00852CE5">
        <w:rPr>
          <w:rFonts w:cs="Arial"/>
        </w:rPr>
        <w:t xml:space="preserve">-risk children and young people </w:t>
      </w:r>
      <w:r w:rsidR="00807C4E" w:rsidRPr="00852CE5">
        <w:rPr>
          <w:rFonts w:cs="Arial"/>
        </w:rPr>
        <w:t>in just about</w:t>
      </w:r>
      <w:r w:rsidR="000B6A84" w:rsidRPr="00852CE5">
        <w:rPr>
          <w:rFonts w:cs="Arial"/>
        </w:rPr>
        <w:t xml:space="preserve"> every service and school. </w:t>
      </w:r>
      <w:r w:rsidR="00CF26DC" w:rsidRPr="00852CE5">
        <w:rPr>
          <w:rFonts w:cs="Arial"/>
        </w:rPr>
        <w:t>In fact, w</w:t>
      </w:r>
      <w:r w:rsidR="000B6A84" w:rsidRPr="00852CE5">
        <w:rPr>
          <w:rFonts w:cs="Arial"/>
        </w:rPr>
        <w:t>e know from</w:t>
      </w:r>
      <w:r w:rsidR="00A818CB">
        <w:rPr>
          <w:rFonts w:cs="Arial"/>
        </w:rPr>
        <w:t xml:space="preserve"> the </w:t>
      </w:r>
      <w:r w:rsidR="00A818CB" w:rsidRPr="00A818CB">
        <w:rPr>
          <w:rFonts w:cs="Arial"/>
        </w:rPr>
        <w:t>Programme for International Student Assessment (PISA)</w:t>
      </w:r>
      <w:r w:rsidR="000B6A84" w:rsidRPr="00852CE5">
        <w:rPr>
          <w:rFonts w:cs="Arial"/>
        </w:rPr>
        <w:t xml:space="preserve"> that there is actually more </w:t>
      </w:r>
      <w:r w:rsidR="00CF26DC" w:rsidRPr="00852CE5">
        <w:rPr>
          <w:rFonts w:cs="Arial"/>
        </w:rPr>
        <w:t>of a spread</w:t>
      </w:r>
      <w:r w:rsidR="000B6A84" w:rsidRPr="00852CE5">
        <w:rPr>
          <w:rFonts w:cs="Arial"/>
        </w:rPr>
        <w:t xml:space="preserve"> in achievement </w:t>
      </w:r>
      <w:r w:rsidR="00CF26DC" w:rsidRPr="00852CE5">
        <w:rPr>
          <w:rFonts w:cs="Arial"/>
        </w:rPr>
        <w:t xml:space="preserve">levels </w:t>
      </w:r>
      <w:r w:rsidR="000B6A84" w:rsidRPr="00852CE5">
        <w:rPr>
          <w:rFonts w:cs="Arial"/>
        </w:rPr>
        <w:t xml:space="preserve">within our schools than there is between them; indeed, this is more the case </w:t>
      </w:r>
      <w:r w:rsidR="003A1309" w:rsidRPr="00852CE5">
        <w:rPr>
          <w:rFonts w:cs="Arial"/>
        </w:rPr>
        <w:t>for</w:t>
      </w:r>
      <w:r w:rsidR="000B6A84" w:rsidRPr="00852CE5">
        <w:rPr>
          <w:rFonts w:cs="Arial"/>
        </w:rPr>
        <w:t xml:space="preserve"> New Zealand than it is </w:t>
      </w:r>
      <w:r w:rsidR="003A1309" w:rsidRPr="00852CE5">
        <w:rPr>
          <w:rFonts w:cs="Arial"/>
        </w:rPr>
        <w:t>for</w:t>
      </w:r>
      <w:r w:rsidR="000B6A84" w:rsidRPr="00852CE5">
        <w:rPr>
          <w:rFonts w:cs="Arial"/>
        </w:rPr>
        <w:t xml:space="preserve"> other countries.</w:t>
      </w:r>
    </w:p>
    <w:p w:rsidR="008A2385" w:rsidRPr="00852CE5" w:rsidRDefault="008A2385" w:rsidP="008A2385">
      <w:pPr>
        <w:jc w:val="both"/>
        <w:rPr>
          <w:rFonts w:cs="Arial"/>
        </w:rPr>
      </w:pPr>
    </w:p>
    <w:p w:rsidR="00690E65" w:rsidRDefault="000B6A84" w:rsidP="008A2385">
      <w:pPr>
        <w:jc w:val="both"/>
        <w:rPr>
          <w:rFonts w:cs="Arial"/>
        </w:rPr>
      </w:pPr>
      <w:r w:rsidRPr="00852CE5">
        <w:rPr>
          <w:rFonts w:cs="Arial"/>
        </w:rPr>
        <w:t xml:space="preserve">In addition, by no longer classifying services and schools into deciles and by highlighting the </w:t>
      </w:r>
      <w:r w:rsidR="00CF26DC" w:rsidRPr="00852CE5">
        <w:rPr>
          <w:rFonts w:cs="Arial"/>
        </w:rPr>
        <w:t>spread of children and young people with higher and lower risk throughout the system, we c</w:t>
      </w:r>
      <w:r w:rsidRPr="00852CE5">
        <w:rPr>
          <w:rFonts w:cs="Arial"/>
        </w:rPr>
        <w:t>ould start to move away from the undesirable stigmatisi</w:t>
      </w:r>
      <w:r w:rsidR="00690E65" w:rsidRPr="00852CE5">
        <w:rPr>
          <w:rFonts w:cs="Arial"/>
        </w:rPr>
        <w:t xml:space="preserve">ng </w:t>
      </w:r>
      <w:r w:rsidR="0033244F" w:rsidRPr="00852CE5">
        <w:rPr>
          <w:rFonts w:cs="Arial"/>
        </w:rPr>
        <w:t xml:space="preserve">effect that the current system has for some </w:t>
      </w:r>
      <w:r w:rsidR="00690E65" w:rsidRPr="00852CE5">
        <w:rPr>
          <w:rFonts w:cs="Arial"/>
        </w:rPr>
        <w:t xml:space="preserve">schools. </w:t>
      </w:r>
    </w:p>
    <w:p w:rsidR="008A2385" w:rsidRPr="00852CE5" w:rsidRDefault="008A2385" w:rsidP="008A2385">
      <w:pPr>
        <w:jc w:val="both"/>
        <w:rPr>
          <w:rFonts w:cs="Arial"/>
        </w:rPr>
      </w:pPr>
    </w:p>
    <w:p w:rsidR="000B6A84" w:rsidRDefault="008A2385" w:rsidP="008A2385">
      <w:pPr>
        <w:pBdr>
          <w:top w:val="single" w:sz="4" w:space="1" w:color="auto"/>
          <w:left w:val="single" w:sz="4" w:space="4" w:color="auto"/>
          <w:bottom w:val="single" w:sz="4" w:space="1" w:color="auto"/>
          <w:right w:val="single" w:sz="4" w:space="0" w:color="auto"/>
        </w:pBdr>
        <w:ind w:left="357" w:right="510"/>
        <w:jc w:val="both"/>
        <w:rPr>
          <w:rFonts w:cs="Arial"/>
          <w:i/>
        </w:rPr>
      </w:pPr>
      <w:r>
        <w:rPr>
          <w:rFonts w:cs="Arial"/>
          <w:i/>
        </w:rPr>
        <w:t>Question for discussion</w:t>
      </w:r>
    </w:p>
    <w:p w:rsidR="008A2385" w:rsidRPr="00852CE5" w:rsidRDefault="008A2385" w:rsidP="008A2385">
      <w:pPr>
        <w:pBdr>
          <w:top w:val="single" w:sz="4" w:space="1" w:color="auto"/>
          <w:left w:val="single" w:sz="4" w:space="4" w:color="auto"/>
          <w:bottom w:val="single" w:sz="4" w:space="1" w:color="auto"/>
          <w:right w:val="single" w:sz="4" w:space="0" w:color="auto"/>
        </w:pBdr>
        <w:ind w:left="357" w:right="510"/>
        <w:jc w:val="both"/>
        <w:rPr>
          <w:rFonts w:cs="Arial"/>
          <w:i/>
        </w:rPr>
      </w:pPr>
    </w:p>
    <w:p w:rsidR="000B6A84" w:rsidRPr="00852CE5" w:rsidRDefault="00690E65" w:rsidP="008A2385">
      <w:pPr>
        <w:pBdr>
          <w:top w:val="single" w:sz="4" w:space="1" w:color="auto"/>
          <w:left w:val="single" w:sz="4" w:space="4" w:color="auto"/>
          <w:bottom w:val="single" w:sz="4" w:space="1" w:color="auto"/>
          <w:right w:val="single" w:sz="4" w:space="0" w:color="auto"/>
        </w:pBdr>
        <w:ind w:left="357" w:right="510"/>
        <w:jc w:val="both"/>
        <w:rPr>
          <w:rFonts w:cs="Arial"/>
          <w:i/>
        </w:rPr>
      </w:pPr>
      <w:r w:rsidRPr="00852CE5">
        <w:rPr>
          <w:rFonts w:cs="Arial"/>
          <w:i/>
        </w:rPr>
        <w:t>In principle, s</w:t>
      </w:r>
      <w:r w:rsidR="000B6A84" w:rsidRPr="00852CE5">
        <w:rPr>
          <w:rFonts w:cs="Arial"/>
          <w:i/>
        </w:rPr>
        <w:t xml:space="preserve">hould </w:t>
      </w:r>
      <w:r w:rsidR="00807C4E" w:rsidRPr="00852CE5">
        <w:rPr>
          <w:rFonts w:cs="Arial"/>
          <w:i/>
        </w:rPr>
        <w:t xml:space="preserve">funding be </w:t>
      </w:r>
      <w:r w:rsidR="000B6A84" w:rsidRPr="00852CE5">
        <w:rPr>
          <w:rFonts w:cs="Arial"/>
          <w:i/>
        </w:rPr>
        <w:t xml:space="preserve">based on the number of </w:t>
      </w:r>
      <w:r w:rsidR="00A4532C" w:rsidRPr="00852CE5">
        <w:rPr>
          <w:rFonts w:cs="Arial"/>
          <w:i/>
        </w:rPr>
        <w:t>at</w:t>
      </w:r>
      <w:r w:rsidR="00A4532C">
        <w:rPr>
          <w:rFonts w:cs="Arial"/>
          <w:i/>
        </w:rPr>
        <w:t>-</w:t>
      </w:r>
      <w:r w:rsidR="000B6A84" w:rsidRPr="00852CE5">
        <w:rPr>
          <w:rFonts w:cs="Arial"/>
          <w:i/>
        </w:rPr>
        <w:t>risk</w:t>
      </w:r>
      <w:r w:rsidR="00A4532C">
        <w:rPr>
          <w:rFonts w:cs="Arial"/>
          <w:i/>
        </w:rPr>
        <w:t xml:space="preserve"> </w:t>
      </w:r>
      <w:r w:rsidR="000B6A84" w:rsidRPr="00852CE5">
        <w:rPr>
          <w:rFonts w:cs="Arial"/>
          <w:i/>
        </w:rPr>
        <w:t>children and young people enrolled, rather than on a service or school’s aggregate</w:t>
      </w:r>
      <w:r w:rsidR="007A5F73">
        <w:rPr>
          <w:rFonts w:cs="Arial"/>
          <w:i/>
        </w:rPr>
        <w:t>d</w:t>
      </w:r>
      <w:r w:rsidR="000B6A84" w:rsidRPr="00852CE5">
        <w:rPr>
          <w:rFonts w:cs="Arial"/>
          <w:i/>
        </w:rPr>
        <w:t xml:space="preserve"> risk</w:t>
      </w:r>
      <w:r w:rsidR="00A4532C">
        <w:rPr>
          <w:rFonts w:cs="Arial"/>
          <w:i/>
        </w:rPr>
        <w:t xml:space="preserve"> </w:t>
      </w:r>
      <w:r w:rsidR="000B6A84" w:rsidRPr="00852CE5">
        <w:rPr>
          <w:rFonts w:cs="Arial"/>
          <w:i/>
        </w:rPr>
        <w:t xml:space="preserve">rating? </w:t>
      </w:r>
    </w:p>
    <w:p w:rsidR="006866E8" w:rsidRDefault="006866E8" w:rsidP="008A2385">
      <w:pPr>
        <w:jc w:val="both"/>
        <w:rPr>
          <w:rFonts w:cs="Arial"/>
        </w:rPr>
      </w:pPr>
      <w:bookmarkStart w:id="10" w:name="_Toc446404695"/>
    </w:p>
    <w:p w:rsidR="00FD7DA7" w:rsidRDefault="00FD7DA7" w:rsidP="008A2385">
      <w:pPr>
        <w:jc w:val="both"/>
        <w:rPr>
          <w:rFonts w:cs="Arial"/>
        </w:rPr>
      </w:pPr>
    </w:p>
    <w:p w:rsidR="00FD7DA7" w:rsidRDefault="00FD7DA7" w:rsidP="008A2385">
      <w:pPr>
        <w:jc w:val="both"/>
        <w:rPr>
          <w:rFonts w:cs="Arial"/>
        </w:rPr>
      </w:pPr>
    </w:p>
    <w:p w:rsidR="008833F4" w:rsidRPr="00110DD9" w:rsidRDefault="003439DB" w:rsidP="006735D7">
      <w:pPr>
        <w:pStyle w:val="MoEHeading1"/>
      </w:pPr>
      <w:bookmarkStart w:id="11" w:name="_Toc451770534"/>
      <w:r w:rsidRPr="00516630">
        <w:t xml:space="preserve">Reporting and </w:t>
      </w:r>
      <w:bookmarkEnd w:id="11"/>
      <w:r w:rsidR="00516630" w:rsidRPr="00516630">
        <w:t>accountability</w:t>
      </w:r>
    </w:p>
    <w:p w:rsidR="00852CE5" w:rsidRDefault="00852CE5" w:rsidP="008A2385">
      <w:pPr>
        <w:jc w:val="both"/>
        <w:rPr>
          <w:rFonts w:cs="Arial"/>
        </w:rPr>
      </w:pPr>
      <w:bookmarkStart w:id="12" w:name="_Ref449572651"/>
    </w:p>
    <w:p w:rsidR="00FD7DA7" w:rsidRDefault="0033244F" w:rsidP="008A2385">
      <w:pPr>
        <w:jc w:val="both"/>
      </w:pPr>
      <w:r w:rsidRPr="00852CE5">
        <w:rPr>
          <w:rFonts w:cs="Arial"/>
        </w:rPr>
        <w:t>The effectiveness of this policy</w:t>
      </w:r>
      <w:r w:rsidR="008833F4" w:rsidRPr="00852CE5">
        <w:rPr>
          <w:rFonts w:cs="Arial"/>
        </w:rPr>
        <w:t xml:space="preserve"> is likely to depend less upon exactly how much of the funding each ECE service or school receives, </w:t>
      </w:r>
      <w:r w:rsidR="00C87412">
        <w:rPr>
          <w:rFonts w:cs="Arial"/>
        </w:rPr>
        <w:t xml:space="preserve">and more on </w:t>
      </w:r>
      <w:r w:rsidR="008833F4" w:rsidRPr="00852CE5">
        <w:rPr>
          <w:rFonts w:cs="Arial"/>
        </w:rPr>
        <w:t xml:space="preserve">how effectively the funding is used and </w:t>
      </w:r>
      <w:r w:rsidR="00D13AF6">
        <w:t xml:space="preserve">how </w:t>
      </w:r>
      <w:r w:rsidR="004542F8" w:rsidRPr="004542F8">
        <w:t xml:space="preserve">it contributes to a focus on supporting the achievement of these </w:t>
      </w:r>
      <w:r w:rsidR="007A5F73">
        <w:t>children and young people</w:t>
      </w:r>
      <w:r w:rsidR="00D13AF6" w:rsidRPr="00D13AF6">
        <w:t>.</w:t>
      </w:r>
      <w:r w:rsidR="00F5770F">
        <w:t xml:space="preserve"> </w:t>
      </w:r>
    </w:p>
    <w:p w:rsidR="00FD7DA7" w:rsidRDefault="00FD7DA7" w:rsidP="008A2385">
      <w:pPr>
        <w:jc w:val="both"/>
      </w:pPr>
    </w:p>
    <w:p w:rsidR="00F35F82" w:rsidRDefault="008833F4" w:rsidP="008A2385">
      <w:pPr>
        <w:jc w:val="both"/>
        <w:rPr>
          <w:rFonts w:cs="Arial"/>
        </w:rPr>
      </w:pPr>
      <w:r w:rsidRPr="00852CE5">
        <w:rPr>
          <w:rFonts w:cs="Arial"/>
        </w:rPr>
        <w:t xml:space="preserve">This suggests a need for there to be clear </w:t>
      </w:r>
      <w:r w:rsidR="006E2A24" w:rsidRPr="00852CE5">
        <w:rPr>
          <w:rFonts w:cs="Arial"/>
        </w:rPr>
        <w:t>accountabili</w:t>
      </w:r>
      <w:r w:rsidR="007A5F73">
        <w:rPr>
          <w:rFonts w:cs="Arial"/>
        </w:rPr>
        <w:t>ties</w:t>
      </w:r>
      <w:r w:rsidRPr="00852CE5">
        <w:rPr>
          <w:rFonts w:cs="Arial"/>
        </w:rPr>
        <w:t xml:space="preserve"> associated with the proposed additional </w:t>
      </w:r>
      <w:r w:rsidR="009173DA" w:rsidRPr="00852CE5">
        <w:rPr>
          <w:rFonts w:cs="Arial"/>
        </w:rPr>
        <w:t>funding</w:t>
      </w:r>
      <w:r w:rsidRPr="00852CE5">
        <w:rPr>
          <w:rFonts w:cs="Arial"/>
        </w:rPr>
        <w:t>.</w:t>
      </w:r>
      <w:bookmarkEnd w:id="12"/>
      <w:r w:rsidRPr="00852CE5">
        <w:rPr>
          <w:rFonts w:cs="Arial"/>
        </w:rPr>
        <w:t xml:space="preserve"> There are differing ways to accomplish this. </w:t>
      </w:r>
      <w:bookmarkStart w:id="13" w:name="_Ref452021146"/>
    </w:p>
    <w:p w:rsidR="00F35F82" w:rsidRDefault="00F35F82" w:rsidP="008A2385">
      <w:pPr>
        <w:jc w:val="both"/>
        <w:rPr>
          <w:rFonts w:cs="Arial"/>
        </w:rPr>
      </w:pPr>
    </w:p>
    <w:p w:rsidR="00F35F82" w:rsidRDefault="00274993" w:rsidP="008A2385">
      <w:pPr>
        <w:jc w:val="both"/>
        <w:rPr>
          <w:rFonts w:cs="Arial"/>
        </w:rPr>
      </w:pPr>
      <w:r w:rsidRPr="00852CE5">
        <w:rPr>
          <w:rFonts w:cs="Arial"/>
        </w:rPr>
        <w:t>We propose</w:t>
      </w:r>
      <w:r w:rsidR="008833F4" w:rsidRPr="00852CE5">
        <w:rPr>
          <w:rFonts w:cs="Arial"/>
        </w:rPr>
        <w:t xml:space="preserve"> to focus </w:t>
      </w:r>
      <w:r w:rsidR="00C36108" w:rsidRPr="00852CE5">
        <w:rPr>
          <w:rFonts w:cs="Arial"/>
        </w:rPr>
        <w:t>on how ECE services</w:t>
      </w:r>
      <w:r w:rsidR="00151E1A">
        <w:rPr>
          <w:rFonts w:cs="Arial"/>
        </w:rPr>
        <w:t>,</w:t>
      </w:r>
      <w:r w:rsidR="00C36108" w:rsidRPr="00852CE5">
        <w:rPr>
          <w:rFonts w:cs="Arial"/>
        </w:rPr>
        <w:t xml:space="preserve"> schools </w:t>
      </w:r>
      <w:r w:rsidR="00151E1A">
        <w:rPr>
          <w:rFonts w:cs="Arial"/>
        </w:rPr>
        <w:t xml:space="preserve">and Communities of Learning </w:t>
      </w:r>
      <w:r w:rsidR="00C36108" w:rsidRPr="00852CE5">
        <w:rPr>
          <w:rFonts w:cs="Arial"/>
        </w:rPr>
        <w:t xml:space="preserve">are using </w:t>
      </w:r>
      <w:r w:rsidR="00C36108" w:rsidRPr="00852CE5">
        <w:rPr>
          <w:rFonts w:cs="Arial"/>
          <w:i/>
        </w:rPr>
        <w:t>all</w:t>
      </w:r>
      <w:r w:rsidR="00C36108" w:rsidRPr="00852CE5">
        <w:rPr>
          <w:rFonts w:cs="Arial"/>
        </w:rPr>
        <w:t xml:space="preserve"> of their resources </w:t>
      </w:r>
      <w:r w:rsidRPr="00852CE5">
        <w:rPr>
          <w:rFonts w:cs="Arial"/>
        </w:rPr>
        <w:t xml:space="preserve">and adapting practice </w:t>
      </w:r>
      <w:r w:rsidR="00C36108" w:rsidRPr="00852CE5">
        <w:rPr>
          <w:rFonts w:cs="Arial"/>
        </w:rPr>
        <w:t xml:space="preserve">to meet the needs of </w:t>
      </w:r>
      <w:r w:rsidR="00102A5A" w:rsidRPr="00852CE5">
        <w:rPr>
          <w:rFonts w:cs="Arial"/>
        </w:rPr>
        <w:t xml:space="preserve">all </w:t>
      </w:r>
      <w:r w:rsidR="004542F8" w:rsidRPr="004542F8">
        <w:t>children and young people, and in p</w:t>
      </w:r>
      <w:r w:rsidR="004542F8" w:rsidRPr="007A5F73">
        <w:t>articular those</w:t>
      </w:r>
      <w:r w:rsidR="00102A5A" w:rsidRPr="007A5F73">
        <w:rPr>
          <w:b/>
        </w:rPr>
        <w:t xml:space="preserve"> </w:t>
      </w:r>
      <w:r w:rsidR="00520C1B" w:rsidRPr="007A5F73">
        <w:t>most</w:t>
      </w:r>
      <w:r w:rsidR="009173DA" w:rsidRPr="007A5F73">
        <w:rPr>
          <w:b/>
        </w:rPr>
        <w:t xml:space="preserve"> </w:t>
      </w:r>
      <w:r w:rsidR="00C36108" w:rsidRPr="007A5F73">
        <w:rPr>
          <w:rFonts w:cs="Arial"/>
        </w:rPr>
        <w:t>at</w:t>
      </w:r>
      <w:r w:rsidR="00C36108" w:rsidRPr="00852CE5">
        <w:rPr>
          <w:rFonts w:cs="Arial"/>
        </w:rPr>
        <w:t xml:space="preserve"> risk of educational under-achievement, and what difference this </w:t>
      </w:r>
      <w:r w:rsidRPr="00852CE5">
        <w:rPr>
          <w:rFonts w:cs="Arial"/>
        </w:rPr>
        <w:t>is</w:t>
      </w:r>
      <w:r w:rsidR="00C36108" w:rsidRPr="00852CE5">
        <w:rPr>
          <w:rFonts w:cs="Arial"/>
        </w:rPr>
        <w:t xml:space="preserve"> making to outcomes for this group.</w:t>
      </w:r>
      <w:bookmarkEnd w:id="13"/>
    </w:p>
    <w:p w:rsidR="00F35F82" w:rsidRDefault="00F35F82" w:rsidP="008A2385">
      <w:pPr>
        <w:jc w:val="both"/>
        <w:rPr>
          <w:rFonts w:cs="Arial"/>
        </w:rPr>
      </w:pPr>
    </w:p>
    <w:p w:rsidR="008833F4" w:rsidRDefault="007A5F73" w:rsidP="008A2385">
      <w:pPr>
        <w:jc w:val="both"/>
        <w:rPr>
          <w:rFonts w:cs="Arial"/>
        </w:rPr>
      </w:pPr>
      <w:r>
        <w:rPr>
          <w:rFonts w:cs="Arial"/>
        </w:rPr>
        <w:t>T</w:t>
      </w:r>
      <w:r w:rsidR="00C36108" w:rsidRPr="00852CE5">
        <w:rPr>
          <w:rFonts w:cs="Arial"/>
        </w:rPr>
        <w:t xml:space="preserve">his is </w:t>
      </w:r>
      <w:r>
        <w:rPr>
          <w:rFonts w:cs="Arial"/>
        </w:rPr>
        <w:t xml:space="preserve">likely to be </w:t>
      </w:r>
      <w:r w:rsidR="00C36108" w:rsidRPr="00852CE5">
        <w:rPr>
          <w:rFonts w:cs="Arial"/>
        </w:rPr>
        <w:t>more important tha</w:t>
      </w:r>
      <w:r w:rsidR="008833F4" w:rsidRPr="00852CE5">
        <w:rPr>
          <w:rFonts w:cs="Arial"/>
        </w:rPr>
        <w:t xml:space="preserve">n precisely how ECE services and schools spend the portion of </w:t>
      </w:r>
      <w:r w:rsidR="001A21CB">
        <w:rPr>
          <w:rFonts w:cs="Arial"/>
        </w:rPr>
        <w:t xml:space="preserve">additional </w:t>
      </w:r>
      <w:r w:rsidR="00274993" w:rsidRPr="00852CE5">
        <w:rPr>
          <w:rFonts w:cs="Arial"/>
        </w:rPr>
        <w:t>funding</w:t>
      </w:r>
      <w:r w:rsidR="008833F4" w:rsidRPr="00852CE5">
        <w:rPr>
          <w:rFonts w:cs="Arial"/>
        </w:rPr>
        <w:t xml:space="preserve"> that they receive</w:t>
      </w:r>
      <w:r w:rsidR="006E2A24" w:rsidRPr="00852CE5">
        <w:rPr>
          <w:rFonts w:cs="Arial"/>
        </w:rPr>
        <w:t xml:space="preserve">. </w:t>
      </w:r>
      <w:r>
        <w:rPr>
          <w:rFonts w:cs="Arial"/>
        </w:rPr>
        <w:t>I</w:t>
      </w:r>
      <w:r w:rsidR="006E2A24" w:rsidRPr="00852CE5">
        <w:rPr>
          <w:rFonts w:cs="Arial"/>
        </w:rPr>
        <w:t xml:space="preserve">t is </w:t>
      </w:r>
      <w:r w:rsidR="00A4532C">
        <w:rPr>
          <w:rFonts w:cs="Arial"/>
        </w:rPr>
        <w:t xml:space="preserve">also </w:t>
      </w:r>
      <w:r>
        <w:rPr>
          <w:rFonts w:cs="Arial"/>
        </w:rPr>
        <w:t>proposed</w:t>
      </w:r>
      <w:r w:rsidR="00C36108" w:rsidRPr="00852CE5">
        <w:rPr>
          <w:rFonts w:cs="Arial"/>
        </w:rPr>
        <w:t xml:space="preserve"> that there </w:t>
      </w:r>
      <w:r>
        <w:rPr>
          <w:rFonts w:cs="Arial"/>
        </w:rPr>
        <w:t>w</w:t>
      </w:r>
      <w:r w:rsidR="00C36108" w:rsidRPr="00852CE5">
        <w:rPr>
          <w:rFonts w:cs="Arial"/>
        </w:rPr>
        <w:t>ould</w:t>
      </w:r>
      <w:r w:rsidR="008833F4" w:rsidRPr="00852CE5">
        <w:rPr>
          <w:rFonts w:cs="Arial"/>
        </w:rPr>
        <w:t xml:space="preserve"> </w:t>
      </w:r>
      <w:r w:rsidR="00C36108" w:rsidRPr="00852CE5">
        <w:rPr>
          <w:rFonts w:cs="Arial"/>
        </w:rPr>
        <w:t>be</w:t>
      </w:r>
      <w:r w:rsidR="008833F4" w:rsidRPr="00852CE5">
        <w:rPr>
          <w:rFonts w:cs="Arial"/>
        </w:rPr>
        <w:t xml:space="preserve"> </w:t>
      </w:r>
      <w:r>
        <w:rPr>
          <w:rFonts w:cs="Arial"/>
        </w:rPr>
        <w:t>no</w:t>
      </w:r>
      <w:r w:rsidR="008833F4" w:rsidRPr="00852CE5">
        <w:rPr>
          <w:rFonts w:cs="Arial"/>
        </w:rPr>
        <w:t xml:space="preserve"> additional restrictions on how this </w:t>
      </w:r>
      <w:r w:rsidR="00274993" w:rsidRPr="00852CE5">
        <w:rPr>
          <w:rFonts w:cs="Arial"/>
        </w:rPr>
        <w:t>funding</w:t>
      </w:r>
      <w:r>
        <w:rPr>
          <w:rFonts w:cs="Arial"/>
        </w:rPr>
        <w:t xml:space="preserve"> could be used</w:t>
      </w:r>
      <w:r w:rsidR="00A4532C">
        <w:rPr>
          <w:rFonts w:cs="Arial"/>
        </w:rPr>
        <w:t>.</w:t>
      </w:r>
    </w:p>
    <w:p w:rsidR="00F35F82" w:rsidRDefault="00F35F82" w:rsidP="008A2385">
      <w:pPr>
        <w:jc w:val="both"/>
        <w:rPr>
          <w:rFonts w:cs="Arial"/>
        </w:rPr>
      </w:pPr>
    </w:p>
    <w:p w:rsidR="00CE0823" w:rsidRDefault="007A5F73" w:rsidP="008A2385">
      <w:pPr>
        <w:jc w:val="both"/>
        <w:rPr>
          <w:rFonts w:cs="Arial"/>
        </w:rPr>
      </w:pPr>
      <w:r>
        <w:rPr>
          <w:rFonts w:cs="Arial"/>
        </w:rPr>
        <w:t>It is</w:t>
      </w:r>
      <w:r w:rsidR="00CE0823" w:rsidRPr="00852CE5">
        <w:rPr>
          <w:rFonts w:cs="Arial"/>
        </w:rPr>
        <w:t xml:space="preserve"> </w:t>
      </w:r>
      <w:r>
        <w:rPr>
          <w:rFonts w:cs="Arial"/>
        </w:rPr>
        <w:t xml:space="preserve">not </w:t>
      </w:r>
      <w:r w:rsidR="00CE0823" w:rsidRPr="00852CE5">
        <w:rPr>
          <w:rFonts w:cs="Arial"/>
        </w:rPr>
        <w:t>proposed that a service</w:t>
      </w:r>
      <w:r w:rsidR="008833F4" w:rsidRPr="00852CE5">
        <w:rPr>
          <w:rFonts w:cs="Arial"/>
        </w:rPr>
        <w:t xml:space="preserve"> or </w:t>
      </w:r>
      <w:r w:rsidR="00CE0823" w:rsidRPr="00852CE5">
        <w:rPr>
          <w:rFonts w:cs="Arial"/>
        </w:rPr>
        <w:t>school</w:t>
      </w:r>
      <w:r w:rsidR="008833F4" w:rsidRPr="00852CE5">
        <w:rPr>
          <w:rFonts w:cs="Arial"/>
        </w:rPr>
        <w:t xml:space="preserve"> </w:t>
      </w:r>
      <w:r>
        <w:rPr>
          <w:rFonts w:cs="Arial"/>
        </w:rPr>
        <w:t xml:space="preserve">would </w:t>
      </w:r>
      <w:r w:rsidR="008833F4" w:rsidRPr="00852CE5">
        <w:rPr>
          <w:rFonts w:cs="Arial"/>
        </w:rPr>
        <w:t xml:space="preserve">have </w:t>
      </w:r>
      <w:r w:rsidR="00CE0823" w:rsidRPr="00852CE5">
        <w:rPr>
          <w:rFonts w:cs="Arial"/>
        </w:rPr>
        <w:t>its</w:t>
      </w:r>
      <w:r w:rsidR="008833F4" w:rsidRPr="00852CE5">
        <w:rPr>
          <w:rFonts w:cs="Arial"/>
        </w:rPr>
        <w:t xml:space="preserve"> additional </w:t>
      </w:r>
      <w:r w:rsidR="00880EE3" w:rsidRPr="00852CE5">
        <w:rPr>
          <w:rFonts w:cs="Arial"/>
        </w:rPr>
        <w:t>funding amount reduced</w:t>
      </w:r>
      <w:r w:rsidR="00C87412">
        <w:rPr>
          <w:rFonts w:cs="Arial"/>
        </w:rPr>
        <w:t xml:space="preserve"> if outcomes for at </w:t>
      </w:r>
      <w:r w:rsidR="008833F4" w:rsidRPr="00852CE5">
        <w:rPr>
          <w:rFonts w:cs="Arial"/>
        </w:rPr>
        <w:t xml:space="preserve">risk children and young people do not meet expectations. </w:t>
      </w:r>
      <w:r w:rsidR="00CE0823" w:rsidRPr="00852CE5">
        <w:rPr>
          <w:rFonts w:cs="Arial"/>
        </w:rPr>
        <w:t>That c</w:t>
      </w:r>
      <w:r w:rsidR="008833F4" w:rsidRPr="00852CE5">
        <w:rPr>
          <w:rFonts w:cs="Arial"/>
        </w:rPr>
        <w:t xml:space="preserve">ould create a vicious circle where the service or school has reduced </w:t>
      </w:r>
      <w:r w:rsidR="00463B3F">
        <w:rPr>
          <w:rFonts w:cs="Arial"/>
        </w:rPr>
        <w:t>funding</w:t>
      </w:r>
      <w:r w:rsidR="00463B3F" w:rsidRPr="00852CE5">
        <w:rPr>
          <w:rFonts w:cs="Arial"/>
        </w:rPr>
        <w:t xml:space="preserve"> </w:t>
      </w:r>
      <w:r w:rsidR="008833F4" w:rsidRPr="00852CE5">
        <w:rPr>
          <w:rFonts w:cs="Arial"/>
        </w:rPr>
        <w:t xml:space="preserve">and finds it even harder to succeed. </w:t>
      </w:r>
    </w:p>
    <w:p w:rsidR="008A2385" w:rsidRPr="00852CE5" w:rsidRDefault="008A2385" w:rsidP="008A2385">
      <w:pPr>
        <w:jc w:val="both"/>
        <w:rPr>
          <w:rFonts w:cs="Arial"/>
        </w:rPr>
      </w:pPr>
    </w:p>
    <w:p w:rsidR="008833F4" w:rsidRDefault="008833F4" w:rsidP="008A2385">
      <w:pPr>
        <w:jc w:val="both"/>
        <w:rPr>
          <w:rFonts w:cs="Arial"/>
        </w:rPr>
      </w:pPr>
      <w:r w:rsidRPr="00852CE5">
        <w:rPr>
          <w:rFonts w:cs="Arial"/>
        </w:rPr>
        <w:t>This does not mean that there should be no consequences.</w:t>
      </w:r>
      <w:r w:rsidR="00C87412">
        <w:rPr>
          <w:rFonts w:cs="Arial"/>
        </w:rPr>
        <w:t xml:space="preserve"> I</w:t>
      </w:r>
      <w:r w:rsidR="00020380" w:rsidRPr="00852CE5">
        <w:rPr>
          <w:rFonts w:cs="Arial"/>
        </w:rPr>
        <w:t>f a</w:t>
      </w:r>
      <w:r w:rsidR="00ED3462">
        <w:rPr>
          <w:rFonts w:cs="Arial"/>
        </w:rPr>
        <w:t xml:space="preserve"> service, </w:t>
      </w:r>
      <w:r w:rsidRPr="00852CE5">
        <w:rPr>
          <w:rFonts w:cs="Arial"/>
        </w:rPr>
        <w:t xml:space="preserve">school </w:t>
      </w:r>
      <w:r w:rsidR="00ED3462">
        <w:rPr>
          <w:rFonts w:cs="Arial"/>
        </w:rPr>
        <w:t xml:space="preserve">or Community of Learning </w:t>
      </w:r>
      <w:r w:rsidRPr="00852CE5">
        <w:rPr>
          <w:rFonts w:cs="Arial"/>
        </w:rPr>
        <w:t xml:space="preserve">is not delivering </w:t>
      </w:r>
      <w:r w:rsidR="00CE0823" w:rsidRPr="00852CE5">
        <w:rPr>
          <w:rFonts w:cs="Arial"/>
        </w:rPr>
        <w:t>for this crucial popu</w:t>
      </w:r>
      <w:r w:rsidR="004A5D7C" w:rsidRPr="00852CE5">
        <w:rPr>
          <w:rFonts w:cs="Arial"/>
        </w:rPr>
        <w:t xml:space="preserve">lation, </w:t>
      </w:r>
      <w:r w:rsidRPr="00852CE5">
        <w:rPr>
          <w:rFonts w:cs="Arial"/>
        </w:rPr>
        <w:t xml:space="preserve">this </w:t>
      </w:r>
      <w:r w:rsidR="00C604A8">
        <w:rPr>
          <w:rFonts w:cs="Arial"/>
        </w:rPr>
        <w:t xml:space="preserve">may </w:t>
      </w:r>
      <w:r w:rsidRPr="00852CE5">
        <w:rPr>
          <w:rFonts w:cs="Arial"/>
        </w:rPr>
        <w:t xml:space="preserve">suggest a need to intervene. </w:t>
      </w:r>
      <w:r w:rsidR="00C604A8">
        <w:rPr>
          <w:rFonts w:cs="Arial"/>
        </w:rPr>
        <w:t>This could be</w:t>
      </w:r>
      <w:r w:rsidRPr="00852CE5">
        <w:rPr>
          <w:rFonts w:cs="Arial"/>
        </w:rPr>
        <w:t xml:space="preserve"> support </w:t>
      </w:r>
      <w:r w:rsidR="00C604A8">
        <w:rPr>
          <w:rFonts w:cs="Arial"/>
        </w:rPr>
        <w:t>or</w:t>
      </w:r>
      <w:r w:rsidRPr="00852CE5">
        <w:rPr>
          <w:rFonts w:cs="Arial"/>
        </w:rPr>
        <w:t xml:space="preserve"> guidance</w:t>
      </w:r>
      <w:r w:rsidR="00C87412">
        <w:rPr>
          <w:rFonts w:cs="Arial"/>
        </w:rPr>
        <w:t>,</w:t>
      </w:r>
      <w:r w:rsidRPr="00852CE5">
        <w:rPr>
          <w:rFonts w:cs="Arial"/>
        </w:rPr>
        <w:t xml:space="preserve"> but in more se</w:t>
      </w:r>
      <w:r w:rsidR="004A5D7C" w:rsidRPr="00852CE5">
        <w:rPr>
          <w:rFonts w:cs="Arial"/>
        </w:rPr>
        <w:t>rious and ongoing cases there c</w:t>
      </w:r>
      <w:r w:rsidRPr="00852CE5">
        <w:rPr>
          <w:rFonts w:cs="Arial"/>
        </w:rPr>
        <w:t>ould be governance or licensing interventions.</w:t>
      </w:r>
    </w:p>
    <w:p w:rsidR="008A2385" w:rsidRPr="00852CE5" w:rsidRDefault="008A2385" w:rsidP="008A2385">
      <w:pPr>
        <w:jc w:val="both"/>
        <w:rPr>
          <w:rFonts w:cs="Arial"/>
        </w:rPr>
      </w:pPr>
    </w:p>
    <w:p w:rsidR="008833F4" w:rsidRDefault="00CD1D94" w:rsidP="00870F6E">
      <w:pPr>
        <w:pBdr>
          <w:top w:val="single" w:sz="4" w:space="1" w:color="auto"/>
          <w:left w:val="single" w:sz="4" w:space="7" w:color="auto"/>
          <w:bottom w:val="single" w:sz="4" w:space="1" w:color="auto"/>
          <w:right w:val="single" w:sz="4" w:space="0" w:color="auto"/>
        </w:pBdr>
        <w:ind w:left="357" w:right="510"/>
        <w:jc w:val="both"/>
        <w:rPr>
          <w:rFonts w:cs="Arial"/>
          <w:i/>
        </w:rPr>
      </w:pPr>
      <w:r>
        <w:rPr>
          <w:rFonts w:cs="Arial"/>
          <w:i/>
        </w:rPr>
        <w:t>Questions for discussion</w:t>
      </w:r>
    </w:p>
    <w:p w:rsidR="00CD1D94" w:rsidRPr="00852CE5" w:rsidRDefault="00CD1D94" w:rsidP="00870F6E">
      <w:pPr>
        <w:pBdr>
          <w:top w:val="single" w:sz="4" w:space="1" w:color="auto"/>
          <w:left w:val="single" w:sz="4" w:space="7" w:color="auto"/>
          <w:bottom w:val="single" w:sz="4" w:space="1" w:color="auto"/>
          <w:right w:val="single" w:sz="4" w:space="0" w:color="auto"/>
        </w:pBdr>
        <w:ind w:left="357" w:right="510"/>
        <w:jc w:val="both"/>
        <w:rPr>
          <w:rFonts w:cs="Arial"/>
          <w:i/>
        </w:rPr>
      </w:pPr>
    </w:p>
    <w:p w:rsidR="00FE4908" w:rsidRDefault="008833F4" w:rsidP="00870F6E">
      <w:pPr>
        <w:pBdr>
          <w:top w:val="single" w:sz="4" w:space="1" w:color="auto"/>
          <w:left w:val="single" w:sz="4" w:space="7" w:color="auto"/>
          <w:bottom w:val="single" w:sz="4" w:space="1" w:color="auto"/>
          <w:right w:val="single" w:sz="4" w:space="0" w:color="auto"/>
        </w:pBdr>
        <w:ind w:left="357" w:right="510"/>
        <w:jc w:val="both"/>
        <w:rPr>
          <w:rFonts w:cs="Arial"/>
          <w:i/>
        </w:rPr>
      </w:pPr>
      <w:r w:rsidRPr="00852CE5">
        <w:rPr>
          <w:rFonts w:cs="Arial"/>
          <w:i/>
        </w:rPr>
        <w:t xml:space="preserve">Should accountability focus on use of the additional </w:t>
      </w:r>
      <w:r w:rsidR="007A5F73">
        <w:rPr>
          <w:rFonts w:cs="Arial"/>
          <w:i/>
        </w:rPr>
        <w:t>funding</w:t>
      </w:r>
      <w:r w:rsidRPr="00852CE5">
        <w:rPr>
          <w:rFonts w:cs="Arial"/>
          <w:i/>
        </w:rPr>
        <w:t xml:space="preserve">, or on what is being done to make progress for children and young people </w:t>
      </w:r>
      <w:r w:rsidR="007A5F73" w:rsidRPr="007A5F73">
        <w:rPr>
          <w:rFonts w:cs="Arial"/>
          <w:i/>
        </w:rPr>
        <w:t xml:space="preserve">who meet the criteria for being </w:t>
      </w:r>
      <w:r w:rsidR="00880EE3" w:rsidRPr="00852CE5">
        <w:rPr>
          <w:rFonts w:cs="Arial"/>
          <w:i/>
        </w:rPr>
        <w:t xml:space="preserve">most </w:t>
      </w:r>
      <w:r w:rsidRPr="00852CE5">
        <w:rPr>
          <w:rFonts w:cs="Arial"/>
          <w:i/>
        </w:rPr>
        <w:t xml:space="preserve">at risk of educational under-achievement? </w:t>
      </w:r>
    </w:p>
    <w:p w:rsidR="00852CE5" w:rsidRPr="00852CE5" w:rsidRDefault="00852CE5" w:rsidP="00870F6E">
      <w:pPr>
        <w:pBdr>
          <w:top w:val="single" w:sz="4" w:space="1" w:color="auto"/>
          <w:left w:val="single" w:sz="4" w:space="7" w:color="auto"/>
          <w:bottom w:val="single" w:sz="4" w:space="1" w:color="auto"/>
          <w:right w:val="single" w:sz="4" w:space="0" w:color="auto"/>
        </w:pBdr>
        <w:ind w:left="357" w:right="510"/>
        <w:jc w:val="both"/>
        <w:rPr>
          <w:rFonts w:cs="Arial"/>
          <w:i/>
        </w:rPr>
      </w:pPr>
    </w:p>
    <w:p w:rsidR="008833F4" w:rsidRPr="00852CE5" w:rsidRDefault="008833F4" w:rsidP="00870F6E">
      <w:pPr>
        <w:pBdr>
          <w:top w:val="single" w:sz="4" w:space="1" w:color="auto"/>
          <w:left w:val="single" w:sz="4" w:space="7" w:color="auto"/>
          <w:bottom w:val="single" w:sz="4" w:space="1" w:color="auto"/>
          <w:right w:val="single" w:sz="4" w:space="0" w:color="auto"/>
        </w:pBdr>
        <w:ind w:left="357" w:right="510"/>
        <w:jc w:val="both"/>
        <w:rPr>
          <w:rFonts w:cs="Arial"/>
          <w:i/>
        </w:rPr>
      </w:pPr>
      <w:r w:rsidRPr="00852CE5">
        <w:rPr>
          <w:rFonts w:cs="Arial"/>
          <w:i/>
        </w:rPr>
        <w:t>Should restrictions be placed on how</w:t>
      </w:r>
      <w:r w:rsidR="00880EE3" w:rsidRPr="00852CE5">
        <w:rPr>
          <w:rFonts w:cs="Arial"/>
          <w:i/>
        </w:rPr>
        <w:t xml:space="preserve"> </w:t>
      </w:r>
      <w:r w:rsidR="007A5F73">
        <w:rPr>
          <w:rFonts w:cs="Arial"/>
          <w:i/>
        </w:rPr>
        <w:t>the additional</w:t>
      </w:r>
      <w:r w:rsidR="00FE4908" w:rsidRPr="00852CE5">
        <w:rPr>
          <w:rFonts w:cs="Arial"/>
          <w:i/>
        </w:rPr>
        <w:t xml:space="preserve"> funding</w:t>
      </w:r>
      <w:r w:rsidRPr="00852CE5">
        <w:rPr>
          <w:rFonts w:cs="Arial"/>
          <w:i/>
        </w:rPr>
        <w:t xml:space="preserve"> can be used?</w:t>
      </w:r>
      <w:r w:rsidR="00EC6178" w:rsidRPr="00852CE5">
        <w:rPr>
          <w:rFonts w:cs="Arial"/>
          <w:i/>
        </w:rPr>
        <w:t xml:space="preserve"> </w:t>
      </w:r>
    </w:p>
    <w:p w:rsidR="008A2385" w:rsidRDefault="008A2385" w:rsidP="008A2385">
      <w:pPr>
        <w:jc w:val="both"/>
        <w:rPr>
          <w:rFonts w:cs="Arial"/>
        </w:rPr>
      </w:pPr>
    </w:p>
    <w:p w:rsidR="00CB6A43" w:rsidRPr="00062555" w:rsidRDefault="00912207" w:rsidP="006735D7">
      <w:pPr>
        <w:pStyle w:val="MoEHeading1"/>
      </w:pPr>
      <w:bookmarkStart w:id="14" w:name="_Toc451770535"/>
      <w:bookmarkEnd w:id="10"/>
      <w:r>
        <w:t>Indicators of educational risk</w:t>
      </w:r>
      <w:bookmarkEnd w:id="14"/>
    </w:p>
    <w:p w:rsidR="00852CE5" w:rsidRDefault="00852CE5" w:rsidP="008A2385">
      <w:pPr>
        <w:jc w:val="both"/>
        <w:rPr>
          <w:rFonts w:cs="Arial"/>
        </w:rPr>
      </w:pPr>
      <w:bookmarkStart w:id="15" w:name="_Ref449572538"/>
      <w:bookmarkStart w:id="16" w:name="_Toc446404696"/>
    </w:p>
    <w:p w:rsidR="00837955" w:rsidRDefault="005714DD" w:rsidP="008A2385">
      <w:pPr>
        <w:jc w:val="both"/>
        <w:rPr>
          <w:rFonts w:cs="Arial"/>
        </w:rPr>
      </w:pPr>
      <w:r w:rsidRPr="00852CE5">
        <w:rPr>
          <w:rFonts w:cs="Arial"/>
        </w:rPr>
        <w:t>T</w:t>
      </w:r>
      <w:r w:rsidR="00D56C56" w:rsidRPr="00852CE5">
        <w:rPr>
          <w:rFonts w:cs="Arial"/>
        </w:rPr>
        <w:t xml:space="preserve">he design of the </w:t>
      </w:r>
      <w:r w:rsidR="00F35F82">
        <w:rPr>
          <w:rFonts w:cs="Arial"/>
        </w:rPr>
        <w:t>additional funding</w:t>
      </w:r>
      <w:r w:rsidR="00D56C56" w:rsidRPr="00852CE5">
        <w:rPr>
          <w:rFonts w:cs="Arial"/>
        </w:rPr>
        <w:t xml:space="preserve"> </w:t>
      </w:r>
      <w:r w:rsidRPr="00852CE5">
        <w:rPr>
          <w:rFonts w:cs="Arial"/>
        </w:rPr>
        <w:t>require</w:t>
      </w:r>
      <w:r w:rsidR="00AF5389" w:rsidRPr="00852CE5">
        <w:rPr>
          <w:rFonts w:cs="Arial"/>
        </w:rPr>
        <w:t>s</w:t>
      </w:r>
      <w:r w:rsidR="00D56C56" w:rsidRPr="00852CE5">
        <w:rPr>
          <w:rFonts w:cs="Arial"/>
        </w:rPr>
        <w:t xml:space="preserve"> indicators of risk </w:t>
      </w:r>
      <w:r w:rsidR="00DC7049" w:rsidRPr="00852CE5">
        <w:rPr>
          <w:rFonts w:cs="Arial"/>
        </w:rPr>
        <w:t xml:space="preserve">of educational under-achievement </w:t>
      </w:r>
      <w:r w:rsidR="00514A0F" w:rsidRPr="00852CE5">
        <w:rPr>
          <w:rFonts w:cs="Arial"/>
        </w:rPr>
        <w:t xml:space="preserve">that </w:t>
      </w:r>
      <w:r w:rsidR="00D56C56" w:rsidRPr="00852CE5">
        <w:rPr>
          <w:rFonts w:cs="Arial"/>
        </w:rPr>
        <w:t xml:space="preserve">are effective at targeting the population we want to address; </w:t>
      </w:r>
      <w:r w:rsidR="00AF5389" w:rsidRPr="00852CE5">
        <w:rPr>
          <w:rFonts w:cs="Arial"/>
        </w:rPr>
        <w:t>are</w:t>
      </w:r>
      <w:r w:rsidR="00D56C56" w:rsidRPr="00852CE5">
        <w:rPr>
          <w:rFonts w:cs="Arial"/>
        </w:rPr>
        <w:t xml:space="preserve"> feasible to collect and use</w:t>
      </w:r>
      <w:r w:rsidR="00F35F82">
        <w:rPr>
          <w:rFonts w:cs="Arial"/>
        </w:rPr>
        <w:t>;</w:t>
      </w:r>
      <w:r w:rsidR="00AC5D62" w:rsidRPr="00852CE5">
        <w:rPr>
          <w:rFonts w:cs="Arial"/>
        </w:rPr>
        <w:t xml:space="preserve"> and are suitable for </w:t>
      </w:r>
      <w:r w:rsidR="00D56C56" w:rsidRPr="00852CE5">
        <w:rPr>
          <w:rFonts w:cs="Arial"/>
        </w:rPr>
        <w:t>the purpose of a funding system.</w:t>
      </w:r>
      <w:bookmarkEnd w:id="15"/>
      <w:r w:rsidR="00514A0F" w:rsidRPr="00852CE5">
        <w:rPr>
          <w:rFonts w:cs="Arial"/>
        </w:rPr>
        <w:t xml:space="preserve"> </w:t>
      </w:r>
    </w:p>
    <w:p w:rsidR="008A2385" w:rsidRPr="00852CE5" w:rsidRDefault="008A2385" w:rsidP="008A2385">
      <w:pPr>
        <w:jc w:val="both"/>
        <w:rPr>
          <w:rFonts w:cs="Arial"/>
        </w:rPr>
      </w:pPr>
    </w:p>
    <w:p w:rsidR="00837955" w:rsidRDefault="00837955" w:rsidP="008A2385">
      <w:pPr>
        <w:jc w:val="both"/>
        <w:rPr>
          <w:rFonts w:cs="Arial"/>
        </w:rPr>
      </w:pPr>
      <w:r w:rsidRPr="00852CE5">
        <w:rPr>
          <w:rFonts w:cs="Arial"/>
        </w:rPr>
        <w:t xml:space="preserve">Some initial criteria that might considered when designing an indicator set </w:t>
      </w:r>
      <w:r w:rsidR="007E58F9" w:rsidRPr="00852CE5">
        <w:rPr>
          <w:rFonts w:cs="Arial"/>
        </w:rPr>
        <w:t xml:space="preserve">for a funding system </w:t>
      </w:r>
      <w:r w:rsidRPr="00852CE5">
        <w:rPr>
          <w:rFonts w:cs="Arial"/>
        </w:rPr>
        <w:t>are:</w:t>
      </w:r>
    </w:p>
    <w:p w:rsidR="008A2385" w:rsidRPr="00852CE5" w:rsidRDefault="008A2385" w:rsidP="008A2385">
      <w:pPr>
        <w:jc w:val="both"/>
        <w:rPr>
          <w:rFonts w:cs="Arial"/>
        </w:rPr>
      </w:pPr>
    </w:p>
    <w:p w:rsidR="00837955" w:rsidRDefault="00A818CB" w:rsidP="008A2385">
      <w:pPr>
        <w:pStyle w:val="MoE-Body"/>
        <w:numPr>
          <w:ilvl w:val="0"/>
          <w:numId w:val="28"/>
        </w:numPr>
        <w:spacing w:after="0"/>
        <w:jc w:val="both"/>
        <w:rPr>
          <w:sz w:val="22"/>
          <w:szCs w:val="22"/>
          <w:lang w:val="en-NZ"/>
        </w:rPr>
      </w:pPr>
      <w:r>
        <w:rPr>
          <w:i/>
          <w:sz w:val="22"/>
          <w:szCs w:val="22"/>
          <w:lang w:val="en-NZ"/>
        </w:rPr>
        <w:t>c</w:t>
      </w:r>
      <w:r w:rsidR="00837955" w:rsidRPr="00814CBF">
        <w:rPr>
          <w:i/>
          <w:sz w:val="22"/>
          <w:szCs w:val="22"/>
          <w:lang w:val="en-NZ"/>
        </w:rPr>
        <w:t>omprehensiveness</w:t>
      </w:r>
      <w:r w:rsidR="00837955" w:rsidRPr="00814CBF">
        <w:rPr>
          <w:sz w:val="22"/>
          <w:szCs w:val="22"/>
          <w:lang w:val="en-NZ"/>
        </w:rPr>
        <w:t xml:space="preserve"> </w:t>
      </w:r>
      <w:r w:rsidR="00463B3F">
        <w:rPr>
          <w:sz w:val="22"/>
          <w:szCs w:val="22"/>
          <w:lang w:val="en-NZ"/>
        </w:rPr>
        <w:t>-</w:t>
      </w:r>
      <w:r w:rsidR="00814CBF">
        <w:rPr>
          <w:sz w:val="22"/>
          <w:szCs w:val="22"/>
          <w:lang w:val="en-NZ"/>
        </w:rPr>
        <w:t xml:space="preserve"> the set of indicators would lead to appropriate relativities in additional support provided </w:t>
      </w:r>
      <w:r w:rsidR="00837955" w:rsidRPr="00814CBF">
        <w:rPr>
          <w:sz w:val="22"/>
          <w:szCs w:val="22"/>
          <w:lang w:val="en-NZ"/>
        </w:rPr>
        <w:t>across the 0-18 age range and across different types of services and schools</w:t>
      </w:r>
    </w:p>
    <w:p w:rsidR="008A2385" w:rsidRDefault="008A2385" w:rsidP="008A2385">
      <w:pPr>
        <w:pStyle w:val="MoE-Body"/>
        <w:spacing w:after="0"/>
        <w:ind w:left="720"/>
        <w:jc w:val="both"/>
        <w:rPr>
          <w:sz w:val="22"/>
          <w:szCs w:val="22"/>
          <w:lang w:val="en-NZ"/>
        </w:rPr>
      </w:pPr>
    </w:p>
    <w:p w:rsidR="00814CBF" w:rsidRDefault="00A818CB" w:rsidP="008A2385">
      <w:pPr>
        <w:pStyle w:val="MoE-Body"/>
        <w:numPr>
          <w:ilvl w:val="0"/>
          <w:numId w:val="28"/>
        </w:numPr>
        <w:spacing w:after="0"/>
        <w:jc w:val="both"/>
        <w:rPr>
          <w:sz w:val="22"/>
          <w:szCs w:val="22"/>
          <w:lang w:val="en-NZ"/>
        </w:rPr>
      </w:pPr>
      <w:r>
        <w:rPr>
          <w:i/>
          <w:sz w:val="22"/>
          <w:szCs w:val="22"/>
          <w:lang w:val="en-NZ"/>
        </w:rPr>
        <w:t>p</w:t>
      </w:r>
      <w:r w:rsidR="00814CBF" w:rsidRPr="00814CBF">
        <w:rPr>
          <w:i/>
          <w:sz w:val="22"/>
          <w:szCs w:val="22"/>
          <w:lang w:val="en-NZ"/>
        </w:rPr>
        <w:t>ermitted</w:t>
      </w:r>
      <w:r w:rsidR="00463B3F">
        <w:rPr>
          <w:sz w:val="22"/>
          <w:szCs w:val="22"/>
          <w:lang w:val="en-NZ"/>
        </w:rPr>
        <w:t xml:space="preserve"> -</w:t>
      </w:r>
      <w:r w:rsidR="00814CBF" w:rsidRPr="00814CBF">
        <w:rPr>
          <w:sz w:val="22"/>
          <w:szCs w:val="22"/>
          <w:lang w:val="en-NZ"/>
        </w:rPr>
        <w:t xml:space="preserve"> the rules governing </w:t>
      </w:r>
      <w:r w:rsidR="00814CBF">
        <w:rPr>
          <w:sz w:val="22"/>
          <w:szCs w:val="22"/>
          <w:lang w:val="en-NZ"/>
        </w:rPr>
        <w:t>each</w:t>
      </w:r>
      <w:r w:rsidR="00814CBF" w:rsidRPr="00814CBF">
        <w:rPr>
          <w:sz w:val="22"/>
          <w:szCs w:val="22"/>
          <w:lang w:val="en-NZ"/>
        </w:rPr>
        <w:t xml:space="preserve"> data source allow it to be used for funding purposes</w:t>
      </w:r>
    </w:p>
    <w:p w:rsidR="008A2385" w:rsidRPr="00814CBF" w:rsidRDefault="008A2385" w:rsidP="008A2385">
      <w:pPr>
        <w:pStyle w:val="MoE-Body"/>
        <w:spacing w:after="0"/>
        <w:jc w:val="both"/>
        <w:rPr>
          <w:sz w:val="22"/>
          <w:szCs w:val="22"/>
          <w:lang w:val="en-NZ"/>
        </w:rPr>
      </w:pPr>
    </w:p>
    <w:p w:rsidR="00837955" w:rsidRDefault="00A818CB" w:rsidP="008A2385">
      <w:pPr>
        <w:pStyle w:val="MoE-Body"/>
        <w:numPr>
          <w:ilvl w:val="0"/>
          <w:numId w:val="28"/>
        </w:numPr>
        <w:spacing w:after="0"/>
        <w:jc w:val="both"/>
        <w:rPr>
          <w:sz w:val="22"/>
          <w:szCs w:val="22"/>
          <w:lang w:val="en-NZ"/>
        </w:rPr>
      </w:pPr>
      <w:r>
        <w:rPr>
          <w:i/>
          <w:sz w:val="22"/>
          <w:szCs w:val="22"/>
          <w:lang w:val="en-NZ"/>
        </w:rPr>
        <w:t>g</w:t>
      </w:r>
      <w:r w:rsidR="00837955" w:rsidRPr="00814CBF">
        <w:rPr>
          <w:i/>
          <w:sz w:val="22"/>
          <w:szCs w:val="22"/>
          <w:lang w:val="en-NZ"/>
        </w:rPr>
        <w:t>enerates precise numbers</w:t>
      </w:r>
      <w:r w:rsidR="00837955" w:rsidRPr="00814CBF">
        <w:rPr>
          <w:sz w:val="22"/>
          <w:szCs w:val="22"/>
          <w:lang w:val="en-NZ"/>
        </w:rPr>
        <w:t xml:space="preserve"> for funding purposes (or can be converted into precise numbers)</w:t>
      </w:r>
    </w:p>
    <w:p w:rsidR="008A2385" w:rsidRPr="00814CBF" w:rsidRDefault="008A2385" w:rsidP="008A2385">
      <w:pPr>
        <w:pStyle w:val="MoE-Body"/>
        <w:spacing w:after="0"/>
        <w:jc w:val="both"/>
        <w:rPr>
          <w:sz w:val="22"/>
          <w:szCs w:val="22"/>
          <w:lang w:val="en-NZ"/>
        </w:rPr>
      </w:pPr>
    </w:p>
    <w:p w:rsidR="00837955" w:rsidRDefault="00A818CB" w:rsidP="008A2385">
      <w:pPr>
        <w:pStyle w:val="MoE-Body"/>
        <w:numPr>
          <w:ilvl w:val="0"/>
          <w:numId w:val="28"/>
        </w:numPr>
        <w:spacing w:after="0"/>
        <w:jc w:val="both"/>
        <w:rPr>
          <w:sz w:val="22"/>
          <w:szCs w:val="22"/>
          <w:lang w:val="en-NZ"/>
        </w:rPr>
      </w:pPr>
      <w:r>
        <w:rPr>
          <w:i/>
          <w:sz w:val="22"/>
          <w:szCs w:val="22"/>
          <w:lang w:val="en-NZ"/>
        </w:rPr>
        <w:t>t</w:t>
      </w:r>
      <w:r w:rsidR="00837955" w:rsidRPr="00814CBF">
        <w:rPr>
          <w:i/>
          <w:sz w:val="22"/>
          <w:szCs w:val="22"/>
          <w:lang w:val="en-NZ"/>
        </w:rPr>
        <w:t>imely</w:t>
      </w:r>
      <w:r w:rsidR="00837955" w:rsidRPr="00814CBF">
        <w:rPr>
          <w:sz w:val="22"/>
          <w:szCs w:val="22"/>
          <w:lang w:val="en-NZ"/>
        </w:rPr>
        <w:t xml:space="preserve"> </w:t>
      </w:r>
      <w:r w:rsidR="00463B3F">
        <w:rPr>
          <w:sz w:val="22"/>
          <w:szCs w:val="22"/>
          <w:lang w:val="en-NZ"/>
        </w:rPr>
        <w:t>-</w:t>
      </w:r>
      <w:r w:rsidR="00837955" w:rsidRPr="00814CBF">
        <w:rPr>
          <w:sz w:val="22"/>
          <w:szCs w:val="22"/>
          <w:lang w:val="en-NZ"/>
        </w:rPr>
        <w:t xml:space="preserve"> able to be replicated on a regular basis without problematic time-lags</w:t>
      </w:r>
    </w:p>
    <w:p w:rsidR="008A2385" w:rsidRPr="00814CBF" w:rsidRDefault="008A2385" w:rsidP="008A2385">
      <w:pPr>
        <w:pStyle w:val="MoE-Body"/>
        <w:spacing w:after="0"/>
        <w:jc w:val="both"/>
        <w:rPr>
          <w:sz w:val="22"/>
          <w:szCs w:val="22"/>
          <w:lang w:val="en-NZ"/>
        </w:rPr>
      </w:pPr>
    </w:p>
    <w:p w:rsidR="00837955" w:rsidRDefault="00A818CB" w:rsidP="008A2385">
      <w:pPr>
        <w:pStyle w:val="MoE-Body"/>
        <w:numPr>
          <w:ilvl w:val="0"/>
          <w:numId w:val="28"/>
        </w:numPr>
        <w:spacing w:after="0"/>
        <w:jc w:val="both"/>
        <w:rPr>
          <w:sz w:val="22"/>
          <w:szCs w:val="22"/>
          <w:lang w:val="en-NZ"/>
        </w:rPr>
      </w:pPr>
      <w:r>
        <w:rPr>
          <w:i/>
          <w:sz w:val="22"/>
          <w:szCs w:val="22"/>
          <w:lang w:val="en-NZ"/>
        </w:rPr>
        <w:t>d</w:t>
      </w:r>
      <w:r w:rsidR="00837955" w:rsidRPr="00814CBF">
        <w:rPr>
          <w:i/>
          <w:sz w:val="22"/>
          <w:szCs w:val="22"/>
          <w:lang w:val="en-NZ"/>
        </w:rPr>
        <w:t>efensible</w:t>
      </w:r>
      <w:r w:rsidR="00814CBF">
        <w:rPr>
          <w:sz w:val="22"/>
          <w:szCs w:val="22"/>
          <w:lang w:val="en-NZ"/>
        </w:rPr>
        <w:t>,</w:t>
      </w:r>
      <w:r w:rsidR="00837955" w:rsidRPr="00814CBF">
        <w:rPr>
          <w:sz w:val="22"/>
          <w:szCs w:val="22"/>
          <w:lang w:val="en-NZ"/>
        </w:rPr>
        <w:t xml:space="preserve"> both ethically and in relation to possible concerns from the general public</w:t>
      </w:r>
    </w:p>
    <w:p w:rsidR="008A2385" w:rsidRPr="00814CBF" w:rsidRDefault="008A2385" w:rsidP="008A2385">
      <w:pPr>
        <w:pStyle w:val="MoE-Body"/>
        <w:spacing w:after="0"/>
        <w:jc w:val="both"/>
        <w:rPr>
          <w:sz w:val="22"/>
          <w:szCs w:val="22"/>
          <w:lang w:val="en-NZ"/>
        </w:rPr>
      </w:pPr>
    </w:p>
    <w:p w:rsidR="00837955" w:rsidRDefault="00A818CB" w:rsidP="008A2385">
      <w:pPr>
        <w:pStyle w:val="MoE-Body"/>
        <w:numPr>
          <w:ilvl w:val="0"/>
          <w:numId w:val="28"/>
        </w:numPr>
        <w:spacing w:after="0"/>
        <w:jc w:val="both"/>
        <w:rPr>
          <w:sz w:val="22"/>
          <w:szCs w:val="22"/>
          <w:lang w:val="en-NZ"/>
        </w:rPr>
      </w:pPr>
      <w:proofErr w:type="gramStart"/>
      <w:r>
        <w:rPr>
          <w:i/>
          <w:sz w:val="22"/>
          <w:szCs w:val="22"/>
          <w:lang w:val="en-NZ"/>
        </w:rPr>
        <w:t>can</w:t>
      </w:r>
      <w:r w:rsidR="00463B3F">
        <w:rPr>
          <w:i/>
          <w:sz w:val="22"/>
          <w:szCs w:val="22"/>
          <w:lang w:val="en-NZ"/>
        </w:rPr>
        <w:t>not</w:t>
      </w:r>
      <w:proofErr w:type="gramEnd"/>
      <w:r w:rsidR="00463B3F">
        <w:rPr>
          <w:i/>
          <w:sz w:val="22"/>
          <w:szCs w:val="22"/>
          <w:lang w:val="en-NZ"/>
        </w:rPr>
        <w:t xml:space="preserve"> be manipulated - </w:t>
      </w:r>
      <w:r w:rsidR="00814CBF">
        <w:rPr>
          <w:sz w:val="22"/>
          <w:szCs w:val="22"/>
          <w:lang w:val="en-NZ"/>
        </w:rPr>
        <w:t>a school or s</w:t>
      </w:r>
      <w:r w:rsidR="00837955" w:rsidRPr="00814CBF">
        <w:rPr>
          <w:sz w:val="22"/>
          <w:szCs w:val="22"/>
          <w:lang w:val="en-NZ"/>
        </w:rPr>
        <w:t xml:space="preserve">ervice </w:t>
      </w:r>
      <w:r w:rsidR="00463B3F">
        <w:rPr>
          <w:sz w:val="22"/>
          <w:szCs w:val="22"/>
          <w:lang w:val="en-NZ"/>
        </w:rPr>
        <w:t xml:space="preserve">cannot </w:t>
      </w:r>
      <w:r w:rsidR="00837955" w:rsidRPr="00814CBF">
        <w:rPr>
          <w:sz w:val="22"/>
          <w:szCs w:val="22"/>
          <w:lang w:val="en-NZ"/>
        </w:rPr>
        <w:t xml:space="preserve">influence </w:t>
      </w:r>
      <w:r w:rsidR="00463B3F">
        <w:rPr>
          <w:sz w:val="22"/>
          <w:szCs w:val="22"/>
          <w:lang w:val="en-NZ"/>
        </w:rPr>
        <w:t>its</w:t>
      </w:r>
      <w:r w:rsidR="00463B3F" w:rsidRPr="00814CBF">
        <w:rPr>
          <w:sz w:val="22"/>
          <w:szCs w:val="22"/>
          <w:lang w:val="en-NZ"/>
        </w:rPr>
        <w:t xml:space="preserve"> </w:t>
      </w:r>
      <w:r w:rsidR="00837955" w:rsidRPr="00814CBF">
        <w:rPr>
          <w:sz w:val="22"/>
          <w:szCs w:val="22"/>
          <w:lang w:val="en-NZ"/>
        </w:rPr>
        <w:t>funding through its dec</w:t>
      </w:r>
      <w:r w:rsidR="007E58F9">
        <w:rPr>
          <w:sz w:val="22"/>
          <w:szCs w:val="22"/>
          <w:lang w:val="en-NZ"/>
        </w:rPr>
        <w:t xml:space="preserve">isions with regard to the child or </w:t>
      </w:r>
      <w:r w:rsidR="00837955" w:rsidRPr="00814CBF">
        <w:rPr>
          <w:sz w:val="22"/>
          <w:szCs w:val="22"/>
          <w:lang w:val="en-NZ"/>
        </w:rPr>
        <w:t>young person (except where this reflects an intended incentive towards a desired behaviour)</w:t>
      </w:r>
      <w:r w:rsidR="00AC5D62">
        <w:rPr>
          <w:sz w:val="22"/>
          <w:szCs w:val="22"/>
          <w:lang w:val="en-NZ"/>
        </w:rPr>
        <w:t>.</w:t>
      </w:r>
    </w:p>
    <w:p w:rsidR="008A2385" w:rsidRDefault="008A2385" w:rsidP="008A2385">
      <w:pPr>
        <w:pStyle w:val="MoE-Body"/>
        <w:spacing w:after="0"/>
        <w:jc w:val="both"/>
        <w:rPr>
          <w:sz w:val="22"/>
          <w:szCs w:val="22"/>
          <w:lang w:val="en-NZ"/>
        </w:rPr>
      </w:pPr>
    </w:p>
    <w:p w:rsidR="00EC6178" w:rsidRPr="008A2385" w:rsidRDefault="00EC6178" w:rsidP="008A2385">
      <w:pPr>
        <w:pStyle w:val="MoEHeading2"/>
        <w:jc w:val="both"/>
        <w:rPr>
          <w:i/>
          <w:color w:val="0070C0"/>
        </w:rPr>
      </w:pPr>
      <w:bookmarkStart w:id="17" w:name="_Ref449427937"/>
      <w:bookmarkEnd w:id="16"/>
      <w:r w:rsidRPr="008A2385">
        <w:rPr>
          <w:i/>
          <w:color w:val="0070C0"/>
        </w:rPr>
        <w:t>How the indicators are used to define risk</w:t>
      </w:r>
    </w:p>
    <w:p w:rsidR="008A2385" w:rsidRPr="008A2385" w:rsidRDefault="008A2385" w:rsidP="008A2385">
      <w:pPr>
        <w:pStyle w:val="MoEBodyText"/>
        <w:spacing w:after="0"/>
      </w:pPr>
    </w:p>
    <w:p w:rsidR="00F35F82" w:rsidRDefault="00EC6178" w:rsidP="008A2385">
      <w:pPr>
        <w:jc w:val="both"/>
        <w:rPr>
          <w:rFonts w:cs="Arial"/>
        </w:rPr>
      </w:pPr>
      <w:bookmarkStart w:id="18" w:name="_Ref452018599"/>
      <w:r w:rsidRPr="00852CE5">
        <w:rPr>
          <w:rFonts w:cs="Arial"/>
        </w:rPr>
        <w:t xml:space="preserve">There are choices around how the indicators should be combined together to assess risk. For example, a child or young person might generate an additional funding amount if they meet the chosen threshold on at least </w:t>
      </w:r>
      <w:r w:rsidR="005674FE">
        <w:rPr>
          <w:rFonts w:cs="Arial"/>
        </w:rPr>
        <w:t>one</w:t>
      </w:r>
      <w:r w:rsidR="005674FE" w:rsidRPr="00852CE5">
        <w:rPr>
          <w:rFonts w:cs="Arial"/>
        </w:rPr>
        <w:t xml:space="preserve"> </w:t>
      </w:r>
      <w:r w:rsidRPr="00852CE5">
        <w:rPr>
          <w:rFonts w:cs="Arial"/>
        </w:rPr>
        <w:t>indicator or a specified number of indicators (for example, at least two out of four of the indicators).</w:t>
      </w:r>
      <w:bookmarkEnd w:id="18"/>
      <w:r w:rsidRPr="00852CE5">
        <w:rPr>
          <w:rFonts w:cs="Arial"/>
        </w:rPr>
        <w:t xml:space="preserve">  </w:t>
      </w:r>
    </w:p>
    <w:p w:rsidR="00F35F82" w:rsidRDefault="00F35F82" w:rsidP="008A2385">
      <w:pPr>
        <w:jc w:val="both"/>
        <w:rPr>
          <w:rFonts w:cs="Arial"/>
        </w:rPr>
      </w:pPr>
    </w:p>
    <w:p w:rsidR="00EC6178" w:rsidRDefault="00EC6178" w:rsidP="008A2385">
      <w:pPr>
        <w:jc w:val="both"/>
        <w:rPr>
          <w:rFonts w:cs="Arial"/>
        </w:rPr>
      </w:pPr>
      <w:r w:rsidRPr="00852CE5">
        <w:rPr>
          <w:rFonts w:cs="Arial"/>
        </w:rPr>
        <w:t>Another approach would be to combine the indicators using weightings to develop a risk index</w:t>
      </w:r>
      <w:r w:rsidR="00F35F82">
        <w:rPr>
          <w:rFonts w:cs="Arial"/>
        </w:rPr>
        <w:t xml:space="preserve"> for each individual.</w:t>
      </w:r>
      <w:r w:rsidRPr="00852CE5">
        <w:rPr>
          <w:rFonts w:cs="Arial"/>
        </w:rPr>
        <w:t xml:space="preserve"> Those children and young people with a risk score above a particular index value would generate the additional funding amount.</w:t>
      </w:r>
    </w:p>
    <w:p w:rsidR="008A2385" w:rsidRPr="00852CE5" w:rsidRDefault="008A2385" w:rsidP="008A2385">
      <w:pPr>
        <w:jc w:val="both"/>
        <w:rPr>
          <w:rFonts w:cs="Arial"/>
        </w:rPr>
      </w:pPr>
    </w:p>
    <w:p w:rsidR="00EC6178" w:rsidRDefault="00EC6178" w:rsidP="008A2385">
      <w:pPr>
        <w:pStyle w:val="TRBodyText"/>
        <w:jc w:val="both"/>
        <w:rPr>
          <w:rFonts w:cs="Arial"/>
        </w:rPr>
      </w:pPr>
      <w:r>
        <w:rPr>
          <w:rFonts w:cs="Arial"/>
        </w:rPr>
        <w:t xml:space="preserve">A variant on this approach would be to use the index values to differentiate between levels of risk, with the funding amount varying accordingly. </w:t>
      </w:r>
      <w:r w:rsidRPr="00CF2921">
        <w:rPr>
          <w:rFonts w:cs="Arial"/>
        </w:rPr>
        <w:t xml:space="preserve">For instance, there could be a distinction between ‘moderate’ risk and ‘high’ risk, with the latter group generating a higher </w:t>
      </w:r>
      <w:r w:rsidR="0061021C">
        <w:rPr>
          <w:rFonts w:cs="Arial"/>
        </w:rPr>
        <w:t>funding rate</w:t>
      </w:r>
      <w:r w:rsidRPr="00CF2921">
        <w:rPr>
          <w:rFonts w:cs="Arial"/>
        </w:rPr>
        <w:t xml:space="preserve">. </w:t>
      </w:r>
      <w:r w:rsidR="00BE2B2C">
        <w:rPr>
          <w:rFonts w:cs="Arial"/>
        </w:rPr>
        <w:t>T</w:t>
      </w:r>
      <w:r w:rsidRPr="00CF2921">
        <w:rPr>
          <w:rFonts w:cs="Arial"/>
        </w:rPr>
        <w:t xml:space="preserve">he gradations in funding could be </w:t>
      </w:r>
      <w:r w:rsidR="00BE2B2C">
        <w:rPr>
          <w:rFonts w:cs="Arial"/>
        </w:rPr>
        <w:t xml:space="preserve">even </w:t>
      </w:r>
      <w:r w:rsidRPr="00CF2921">
        <w:rPr>
          <w:rFonts w:cs="Arial"/>
        </w:rPr>
        <w:t xml:space="preserve">more fine-grained based on a child or young </w:t>
      </w:r>
      <w:proofErr w:type="gramStart"/>
      <w:r w:rsidRPr="00CF2921">
        <w:rPr>
          <w:rFonts w:cs="Arial"/>
        </w:rPr>
        <w:t>person’s</w:t>
      </w:r>
      <w:proofErr w:type="gramEnd"/>
      <w:r w:rsidRPr="00CF2921">
        <w:rPr>
          <w:rFonts w:cs="Arial"/>
        </w:rPr>
        <w:t xml:space="preserve"> risk score. </w:t>
      </w:r>
    </w:p>
    <w:p w:rsidR="00EC6178" w:rsidRPr="00CF2921" w:rsidRDefault="00EC6178" w:rsidP="008A2385">
      <w:pPr>
        <w:pStyle w:val="TRBodyText"/>
        <w:ind w:left="360"/>
        <w:jc w:val="both"/>
        <w:rPr>
          <w:rFonts w:cs="Arial"/>
        </w:rPr>
      </w:pPr>
    </w:p>
    <w:p w:rsidR="0033060F" w:rsidRDefault="00EC6178" w:rsidP="008A2385">
      <w:pPr>
        <w:jc w:val="both"/>
        <w:rPr>
          <w:rFonts w:cs="Arial"/>
        </w:rPr>
      </w:pPr>
      <w:r w:rsidRPr="00852CE5">
        <w:rPr>
          <w:rFonts w:cs="Arial"/>
        </w:rPr>
        <w:t xml:space="preserve">A related question is how broad a population would be intended to generate </w:t>
      </w:r>
      <w:r w:rsidR="00F35F82">
        <w:rPr>
          <w:rFonts w:cs="Arial"/>
        </w:rPr>
        <w:t xml:space="preserve">the </w:t>
      </w:r>
      <w:r w:rsidRPr="00852CE5">
        <w:rPr>
          <w:rFonts w:cs="Arial"/>
        </w:rPr>
        <w:t xml:space="preserve">additional </w:t>
      </w:r>
      <w:r w:rsidR="00F35F82">
        <w:rPr>
          <w:rFonts w:cs="Arial"/>
        </w:rPr>
        <w:t>funding</w:t>
      </w:r>
      <w:r w:rsidRPr="00852CE5">
        <w:rPr>
          <w:rFonts w:cs="Arial"/>
        </w:rPr>
        <w:t>. This coverage rate will tend to be a function of the indicators chosen, any thresholds determined for those indicators, and the way the indicators are combined together to assess risk.</w:t>
      </w:r>
      <w:r w:rsidR="00F35F82">
        <w:rPr>
          <w:rFonts w:cs="Arial"/>
        </w:rPr>
        <w:t xml:space="preserve"> </w:t>
      </w:r>
    </w:p>
    <w:p w:rsidR="0033060F" w:rsidRDefault="0033060F" w:rsidP="008A2385">
      <w:pPr>
        <w:jc w:val="both"/>
        <w:rPr>
          <w:rFonts w:cs="Arial"/>
        </w:rPr>
      </w:pPr>
    </w:p>
    <w:p w:rsidR="00EC6178" w:rsidRDefault="00EC6178" w:rsidP="008A2385">
      <w:pPr>
        <w:jc w:val="both"/>
        <w:rPr>
          <w:rFonts w:cs="Arial"/>
        </w:rPr>
      </w:pPr>
      <w:r w:rsidRPr="00852CE5">
        <w:rPr>
          <w:rFonts w:cs="Arial"/>
        </w:rPr>
        <w:t xml:space="preserve">There may, however, be some value in having a view on preferred breadth of coverage prior to deliberating on these design choices. </w:t>
      </w:r>
    </w:p>
    <w:p w:rsidR="008A2385" w:rsidRPr="00852CE5" w:rsidRDefault="008A2385" w:rsidP="008A2385">
      <w:pPr>
        <w:jc w:val="both"/>
        <w:rPr>
          <w:rFonts w:cs="Arial"/>
        </w:rPr>
      </w:pPr>
    </w:p>
    <w:p w:rsidR="00AC5D62" w:rsidRDefault="00EC6178" w:rsidP="008A2385">
      <w:pPr>
        <w:jc w:val="both"/>
        <w:rPr>
          <w:rFonts w:cs="Arial"/>
        </w:rPr>
      </w:pPr>
      <w:r w:rsidRPr="00852CE5">
        <w:rPr>
          <w:rFonts w:cs="Arial"/>
        </w:rPr>
        <w:t xml:space="preserve">For instance, both in New Zealand and internationally, a distinction can be made between around 20-30% of children and young people whose socioeconomic status may mean that their achievement levels tend to be lower, and around 5-10% with multiple risk factors and </w:t>
      </w:r>
      <w:r w:rsidR="00BE2B2C">
        <w:rPr>
          <w:rFonts w:cs="Arial"/>
        </w:rPr>
        <w:t xml:space="preserve">who </w:t>
      </w:r>
      <w:r w:rsidR="00BE2B2C" w:rsidRPr="00852CE5">
        <w:rPr>
          <w:rFonts w:cs="Arial"/>
        </w:rPr>
        <w:t>experienc</w:t>
      </w:r>
      <w:r w:rsidR="00BE2B2C">
        <w:rPr>
          <w:rFonts w:cs="Arial"/>
        </w:rPr>
        <w:t>e</w:t>
      </w:r>
      <w:r w:rsidR="00BE2B2C" w:rsidRPr="00852CE5">
        <w:rPr>
          <w:rFonts w:cs="Arial"/>
        </w:rPr>
        <w:t xml:space="preserve"> </w:t>
      </w:r>
      <w:r w:rsidRPr="00852CE5">
        <w:rPr>
          <w:rFonts w:cs="Arial"/>
        </w:rPr>
        <w:t xml:space="preserve">significant dysfunction in their home environment. </w:t>
      </w:r>
      <w:bookmarkStart w:id="19" w:name="_Ref452018612"/>
    </w:p>
    <w:p w:rsidR="008A2385" w:rsidRPr="00852CE5" w:rsidRDefault="008A2385" w:rsidP="008A2385">
      <w:pPr>
        <w:jc w:val="both"/>
        <w:rPr>
          <w:rFonts w:cs="Arial"/>
        </w:rPr>
      </w:pPr>
    </w:p>
    <w:p w:rsidR="0033060F" w:rsidRDefault="00EC6178" w:rsidP="008A2385">
      <w:pPr>
        <w:jc w:val="both"/>
        <w:rPr>
          <w:rFonts w:cs="Arial"/>
        </w:rPr>
      </w:pPr>
      <w:r w:rsidRPr="00852CE5">
        <w:rPr>
          <w:rFonts w:cs="Arial"/>
        </w:rPr>
        <w:t xml:space="preserve">There are trade-offs here. The narrower approach would cover fewer children and young people, with a greater intensity of need, and a higher rate of </w:t>
      </w:r>
      <w:r w:rsidR="001A21CB">
        <w:rPr>
          <w:rFonts w:cs="Arial"/>
        </w:rPr>
        <w:t>funding</w:t>
      </w:r>
      <w:r w:rsidRPr="00852CE5">
        <w:rPr>
          <w:rFonts w:cs="Arial"/>
        </w:rPr>
        <w:t xml:space="preserve"> each. </w:t>
      </w:r>
    </w:p>
    <w:p w:rsidR="0033060F" w:rsidRDefault="0033060F" w:rsidP="008A2385">
      <w:pPr>
        <w:jc w:val="both"/>
        <w:rPr>
          <w:rFonts w:cs="Arial"/>
        </w:rPr>
      </w:pPr>
    </w:p>
    <w:p w:rsidR="00EC6178" w:rsidRDefault="00EC6178" w:rsidP="008A2385">
      <w:pPr>
        <w:jc w:val="both"/>
        <w:rPr>
          <w:rFonts w:cs="Arial"/>
        </w:rPr>
      </w:pPr>
      <w:r w:rsidRPr="00852CE5">
        <w:rPr>
          <w:rFonts w:cs="Arial"/>
        </w:rPr>
        <w:t xml:space="preserve">Also, smaller numbers of eligible children and young people would tend to mean the amount received by a service or school would be more </w:t>
      </w:r>
      <w:r w:rsidRPr="00F35F82">
        <w:rPr>
          <w:rFonts w:cs="Arial"/>
        </w:rPr>
        <w:t>volatile</w:t>
      </w:r>
      <w:r w:rsidRPr="00852CE5">
        <w:rPr>
          <w:rFonts w:cs="Arial"/>
        </w:rPr>
        <w:t xml:space="preserve"> from year to year.</w:t>
      </w:r>
      <w:bookmarkEnd w:id="19"/>
      <w:r w:rsidRPr="00852CE5">
        <w:rPr>
          <w:rFonts w:cs="Arial"/>
        </w:rPr>
        <w:t xml:space="preserve"> </w:t>
      </w:r>
    </w:p>
    <w:p w:rsidR="008A2385" w:rsidRPr="00852CE5" w:rsidRDefault="008A2385" w:rsidP="008A2385">
      <w:pPr>
        <w:jc w:val="both"/>
        <w:rPr>
          <w:rFonts w:cs="Arial"/>
        </w:rPr>
      </w:pPr>
    </w:p>
    <w:p w:rsidR="00852CE5" w:rsidRPr="008A2385" w:rsidRDefault="008A2385" w:rsidP="008A2385">
      <w:pPr>
        <w:pBdr>
          <w:top w:val="single" w:sz="4" w:space="1" w:color="auto"/>
          <w:left w:val="single" w:sz="4" w:space="4" w:color="auto"/>
          <w:bottom w:val="single" w:sz="4" w:space="1" w:color="auto"/>
          <w:right w:val="single" w:sz="4" w:space="0" w:color="auto"/>
        </w:pBdr>
        <w:ind w:left="357" w:right="510"/>
        <w:jc w:val="both"/>
        <w:rPr>
          <w:rFonts w:cs="Arial"/>
          <w:i/>
        </w:rPr>
      </w:pPr>
      <w:r w:rsidRPr="008A2385">
        <w:rPr>
          <w:rFonts w:cs="Arial"/>
          <w:i/>
        </w:rPr>
        <w:t>Question</w:t>
      </w:r>
      <w:r>
        <w:rPr>
          <w:rFonts w:cs="Arial"/>
          <w:i/>
        </w:rPr>
        <w:t>s</w:t>
      </w:r>
      <w:r w:rsidRPr="008A2385">
        <w:rPr>
          <w:rFonts w:cs="Arial"/>
          <w:i/>
        </w:rPr>
        <w:t xml:space="preserve"> for discussion</w:t>
      </w:r>
    </w:p>
    <w:p w:rsidR="008A2385" w:rsidRPr="00852CE5" w:rsidRDefault="008A2385" w:rsidP="008A2385">
      <w:pPr>
        <w:pBdr>
          <w:top w:val="single" w:sz="4" w:space="1" w:color="auto"/>
          <w:left w:val="single" w:sz="4" w:space="4" w:color="auto"/>
          <w:bottom w:val="single" w:sz="4" w:space="1" w:color="auto"/>
          <w:right w:val="single" w:sz="4" w:space="0" w:color="auto"/>
        </w:pBdr>
        <w:ind w:left="357" w:right="510"/>
        <w:jc w:val="both"/>
        <w:rPr>
          <w:rFonts w:cs="Arial"/>
          <w:b/>
        </w:rPr>
      </w:pPr>
    </w:p>
    <w:p w:rsidR="00EC6178" w:rsidRPr="00852CE5" w:rsidRDefault="00EC6178" w:rsidP="008A2385">
      <w:pPr>
        <w:pBdr>
          <w:top w:val="single" w:sz="4" w:space="1" w:color="auto"/>
          <w:left w:val="single" w:sz="4" w:space="4" w:color="auto"/>
          <w:bottom w:val="single" w:sz="4" w:space="1" w:color="auto"/>
          <w:right w:val="single" w:sz="4" w:space="0" w:color="auto"/>
        </w:pBdr>
        <w:ind w:left="357" w:right="510"/>
        <w:jc w:val="both"/>
        <w:rPr>
          <w:rFonts w:cs="Arial"/>
          <w:i/>
        </w:rPr>
      </w:pPr>
      <w:r w:rsidRPr="00852CE5">
        <w:rPr>
          <w:rFonts w:cs="Arial"/>
          <w:i/>
        </w:rPr>
        <w:t xml:space="preserve">How should the indicators be combined? Should there be differing </w:t>
      </w:r>
      <w:r w:rsidR="00F35F82">
        <w:rPr>
          <w:rFonts w:cs="Arial"/>
          <w:i/>
        </w:rPr>
        <w:t>rates</w:t>
      </w:r>
      <w:r w:rsidRPr="00852CE5">
        <w:rPr>
          <w:rFonts w:cs="Arial"/>
          <w:i/>
        </w:rPr>
        <w:t xml:space="preserve"> of </w:t>
      </w:r>
      <w:r w:rsidR="00F35F82">
        <w:rPr>
          <w:rFonts w:cs="Arial"/>
          <w:i/>
        </w:rPr>
        <w:t>additional funding</w:t>
      </w:r>
      <w:r w:rsidRPr="00852CE5">
        <w:rPr>
          <w:rFonts w:cs="Arial"/>
          <w:i/>
        </w:rPr>
        <w:t xml:space="preserve"> for different levels of risk?</w:t>
      </w:r>
    </w:p>
    <w:p w:rsidR="00852CE5" w:rsidRPr="00852CE5" w:rsidRDefault="00852CE5" w:rsidP="008A2385">
      <w:pPr>
        <w:pBdr>
          <w:top w:val="single" w:sz="4" w:space="1" w:color="auto"/>
          <w:left w:val="single" w:sz="4" w:space="4" w:color="auto"/>
          <w:bottom w:val="single" w:sz="4" w:space="1" w:color="auto"/>
          <w:right w:val="single" w:sz="4" w:space="0" w:color="auto"/>
        </w:pBdr>
        <w:ind w:left="357" w:right="510"/>
        <w:jc w:val="both"/>
        <w:rPr>
          <w:rFonts w:cs="Arial"/>
          <w:i/>
        </w:rPr>
      </w:pPr>
    </w:p>
    <w:p w:rsidR="00852CE5" w:rsidRPr="00852CE5" w:rsidRDefault="00EC6178" w:rsidP="008A2385">
      <w:pPr>
        <w:pBdr>
          <w:top w:val="single" w:sz="4" w:space="1" w:color="auto"/>
          <w:left w:val="single" w:sz="4" w:space="4" w:color="auto"/>
          <w:bottom w:val="single" w:sz="4" w:space="1" w:color="auto"/>
          <w:right w:val="single" w:sz="4" w:space="0" w:color="auto"/>
        </w:pBdr>
        <w:ind w:left="357" w:right="510"/>
        <w:jc w:val="both"/>
        <w:rPr>
          <w:rFonts w:cs="Arial"/>
          <w:i/>
        </w:rPr>
      </w:pPr>
      <w:r w:rsidRPr="00852CE5">
        <w:rPr>
          <w:rFonts w:cs="Arial"/>
          <w:i/>
        </w:rPr>
        <w:t xml:space="preserve">For the additional </w:t>
      </w:r>
      <w:r w:rsidR="00F35F82">
        <w:rPr>
          <w:rFonts w:cs="Arial"/>
          <w:i/>
        </w:rPr>
        <w:t xml:space="preserve">funding to support those most at </w:t>
      </w:r>
      <w:r w:rsidRPr="00852CE5">
        <w:rPr>
          <w:rFonts w:cs="Arial"/>
          <w:i/>
        </w:rPr>
        <w:t xml:space="preserve">risk of educational under-achievement, what sort of proportion of the population should be covered? </w:t>
      </w:r>
    </w:p>
    <w:p w:rsidR="00852CE5" w:rsidRDefault="00852CE5" w:rsidP="008A2385">
      <w:pPr>
        <w:pStyle w:val="MoEHeading2"/>
        <w:jc w:val="both"/>
      </w:pPr>
    </w:p>
    <w:p w:rsidR="00EC6178" w:rsidRPr="008A2385" w:rsidRDefault="00EC6178" w:rsidP="008A2385">
      <w:pPr>
        <w:pStyle w:val="MoEHeading2"/>
        <w:jc w:val="both"/>
        <w:rPr>
          <w:i/>
          <w:color w:val="0070C0"/>
        </w:rPr>
      </w:pPr>
      <w:r w:rsidRPr="008A2385">
        <w:rPr>
          <w:i/>
          <w:color w:val="0070C0"/>
        </w:rPr>
        <w:t xml:space="preserve">Selecting which </w:t>
      </w:r>
      <w:r w:rsidRPr="006735D7">
        <w:rPr>
          <w:i/>
          <w:color w:val="2A6EBB"/>
        </w:rPr>
        <w:t>indicators</w:t>
      </w:r>
      <w:r w:rsidRPr="008A2385">
        <w:rPr>
          <w:i/>
          <w:color w:val="0070C0"/>
        </w:rPr>
        <w:t xml:space="preserve"> to use</w:t>
      </w:r>
    </w:p>
    <w:p w:rsidR="008A2385" w:rsidRPr="008A2385" w:rsidRDefault="008A2385" w:rsidP="008A2385">
      <w:pPr>
        <w:pStyle w:val="MoEBodyText"/>
        <w:spacing w:after="0"/>
      </w:pPr>
    </w:p>
    <w:p w:rsidR="0033060F" w:rsidRDefault="0072202C" w:rsidP="00852CE5">
      <w:pPr>
        <w:pStyle w:val="TRBodyText"/>
        <w:jc w:val="both"/>
        <w:rPr>
          <w:rFonts w:cs="Arial"/>
          <w:szCs w:val="22"/>
        </w:rPr>
      </w:pPr>
      <w:fldSimple w:instr=" REF _Ref452028396 \h  \* MERGEFORMAT ">
        <w:r w:rsidR="00912CD2" w:rsidRPr="00912CD2">
          <w:t>Table 3</w:t>
        </w:r>
      </w:fldSimple>
      <w:r w:rsidR="00EC6178">
        <w:rPr>
          <w:rFonts w:cs="Arial"/>
          <w:szCs w:val="22"/>
        </w:rPr>
        <w:t xml:space="preserve">, overleaf, presents a number of possible indicators that could be used to identify risk of educational under-achievement. </w:t>
      </w:r>
    </w:p>
    <w:p w:rsidR="0033060F" w:rsidRDefault="0033060F" w:rsidP="00852CE5">
      <w:pPr>
        <w:pStyle w:val="TRBodyText"/>
        <w:jc w:val="both"/>
        <w:rPr>
          <w:rFonts w:cs="Arial"/>
          <w:szCs w:val="22"/>
        </w:rPr>
      </w:pPr>
    </w:p>
    <w:p w:rsidR="0033060F" w:rsidRDefault="00EC6178" w:rsidP="00852CE5">
      <w:pPr>
        <w:pStyle w:val="TRBodyText"/>
        <w:jc w:val="both"/>
        <w:rPr>
          <w:rFonts w:cs="Arial"/>
        </w:rPr>
      </w:pPr>
      <w:r w:rsidRPr="007C54AD">
        <w:rPr>
          <w:rFonts w:cs="Arial"/>
        </w:rPr>
        <w:t xml:space="preserve">The first four indicators listed </w:t>
      </w:r>
      <w:r>
        <w:rPr>
          <w:rFonts w:cs="Arial"/>
        </w:rPr>
        <w:t>were</w:t>
      </w:r>
      <w:r w:rsidRPr="007C54AD">
        <w:rPr>
          <w:rFonts w:cs="Arial"/>
        </w:rPr>
        <w:t xml:space="preserve"> </w:t>
      </w:r>
      <w:r w:rsidR="00F35F82">
        <w:rPr>
          <w:rFonts w:cs="Arial"/>
        </w:rPr>
        <w:t>used in research to inform the G</w:t>
      </w:r>
      <w:r w:rsidRPr="007C54AD">
        <w:rPr>
          <w:rFonts w:cs="Arial"/>
        </w:rPr>
        <w:t>overnment’s Social Investment approach. Using information already collected by government, they were found to be associated with children and young people having a range of poor outcomes later in life.</w:t>
      </w:r>
      <w:r>
        <w:rPr>
          <w:rStyle w:val="FootnoteReference"/>
          <w:rFonts w:cs="Arial"/>
        </w:rPr>
        <w:footnoteReference w:id="4"/>
      </w:r>
      <w:r w:rsidRPr="007C54AD">
        <w:rPr>
          <w:rFonts w:cs="Arial"/>
        </w:rPr>
        <w:t xml:space="preserve"> </w:t>
      </w:r>
    </w:p>
    <w:p w:rsidR="0033060F" w:rsidRDefault="0033060F" w:rsidP="00852CE5">
      <w:pPr>
        <w:pStyle w:val="TRBodyText"/>
        <w:jc w:val="both"/>
        <w:rPr>
          <w:rFonts w:cs="Arial"/>
        </w:rPr>
      </w:pPr>
    </w:p>
    <w:p w:rsidR="006E4C8B" w:rsidRDefault="00EC6178" w:rsidP="00852CE5">
      <w:pPr>
        <w:pStyle w:val="TRBodyText"/>
        <w:jc w:val="both"/>
        <w:rPr>
          <w:rFonts w:cs="Arial"/>
        </w:rPr>
      </w:pPr>
      <w:r>
        <w:rPr>
          <w:rFonts w:cs="Arial"/>
        </w:rPr>
        <w:t>A</w:t>
      </w:r>
      <w:r w:rsidRPr="007C54AD">
        <w:rPr>
          <w:rFonts w:cs="Arial"/>
        </w:rPr>
        <w:t xml:space="preserve"> range of other indicators that could be used as well as </w:t>
      </w:r>
      <w:r w:rsidR="00C87412">
        <w:rPr>
          <w:rFonts w:cs="Arial"/>
        </w:rPr>
        <w:t>(</w:t>
      </w:r>
      <w:r w:rsidRPr="007C54AD">
        <w:rPr>
          <w:rFonts w:cs="Arial"/>
        </w:rPr>
        <w:t>or</w:t>
      </w:r>
      <w:r>
        <w:rPr>
          <w:rFonts w:cs="Arial"/>
        </w:rPr>
        <w:t xml:space="preserve"> instead of</w:t>
      </w:r>
      <w:r w:rsidR="00C87412">
        <w:rPr>
          <w:rFonts w:cs="Arial"/>
        </w:rPr>
        <w:t>)</w:t>
      </w:r>
      <w:r>
        <w:rPr>
          <w:rFonts w:cs="Arial"/>
        </w:rPr>
        <w:t xml:space="preserve">, this </w:t>
      </w:r>
      <w:r w:rsidRPr="007C54AD">
        <w:rPr>
          <w:rFonts w:cs="Arial"/>
        </w:rPr>
        <w:t xml:space="preserve">set </w:t>
      </w:r>
      <w:r>
        <w:rPr>
          <w:rFonts w:cs="Arial"/>
        </w:rPr>
        <w:t>of four</w:t>
      </w:r>
      <w:r w:rsidR="00C87412">
        <w:rPr>
          <w:rFonts w:cs="Arial"/>
        </w:rPr>
        <w:t>,</w:t>
      </w:r>
      <w:r>
        <w:rPr>
          <w:rFonts w:cs="Arial"/>
        </w:rPr>
        <w:t xml:space="preserve"> </w:t>
      </w:r>
      <w:r w:rsidR="0033060F">
        <w:rPr>
          <w:rFonts w:cs="Arial"/>
        </w:rPr>
        <w:t>is also</w:t>
      </w:r>
      <w:r w:rsidRPr="007C54AD">
        <w:rPr>
          <w:rFonts w:cs="Arial"/>
        </w:rPr>
        <w:t xml:space="preserve"> outlined in</w:t>
      </w:r>
      <w:r w:rsidR="00474155">
        <w:rPr>
          <w:rFonts w:cs="Arial"/>
        </w:rPr>
        <w:t xml:space="preserve"> </w:t>
      </w:r>
      <w:fldSimple w:instr=" REF _Ref452028396 \h  \* MERGEFORMAT ">
        <w:r w:rsidR="000025B5" w:rsidRPr="000025B5">
          <w:t>Table 3</w:t>
        </w:r>
      </w:fldSimple>
      <w:r w:rsidRPr="007C54AD">
        <w:rPr>
          <w:rFonts w:cs="Arial"/>
        </w:rPr>
        <w:t>.</w:t>
      </w:r>
    </w:p>
    <w:p w:rsidR="00FD7DA7" w:rsidRDefault="00FD7DA7" w:rsidP="00852CE5">
      <w:pPr>
        <w:pStyle w:val="TRBodyText"/>
        <w:jc w:val="both"/>
        <w:rPr>
          <w:rFonts w:cs="Arial"/>
        </w:rPr>
      </w:pPr>
    </w:p>
    <w:p w:rsidR="00FD7DA7" w:rsidRDefault="00FD7DA7" w:rsidP="00FD7DA7">
      <w:pPr>
        <w:pStyle w:val="TRBodyText"/>
        <w:jc w:val="both"/>
        <w:rPr>
          <w:rFonts w:cs="Arial"/>
        </w:rPr>
      </w:pPr>
      <w:r>
        <w:rPr>
          <w:rFonts w:cs="Arial"/>
        </w:rPr>
        <w:t>The number of indicators that are used may be influenced by judgments about how the indicators are to be combined together to assess risk (as discussed in the previous subsection.)</w:t>
      </w:r>
    </w:p>
    <w:p w:rsidR="00FD7DA7" w:rsidRDefault="00FD7DA7" w:rsidP="00FD7DA7">
      <w:pPr>
        <w:pStyle w:val="TRBodyText"/>
        <w:jc w:val="both"/>
        <w:rPr>
          <w:rFonts w:cs="Arial"/>
        </w:rPr>
      </w:pPr>
    </w:p>
    <w:p w:rsidR="00FD7DA7" w:rsidRDefault="00FD7DA7" w:rsidP="00FD7DA7">
      <w:pPr>
        <w:pBdr>
          <w:top w:val="single" w:sz="4" w:space="1" w:color="auto"/>
          <w:left w:val="single" w:sz="4" w:space="4" w:color="auto"/>
          <w:bottom w:val="single" w:sz="4" w:space="1" w:color="auto"/>
          <w:right w:val="single" w:sz="4" w:space="0" w:color="auto"/>
        </w:pBdr>
        <w:ind w:left="357" w:right="510"/>
        <w:jc w:val="both"/>
        <w:rPr>
          <w:rFonts w:cs="Arial"/>
          <w:i/>
        </w:rPr>
      </w:pPr>
      <w:r>
        <w:rPr>
          <w:rFonts w:cs="Arial"/>
          <w:i/>
        </w:rPr>
        <w:t>Question for discussion</w:t>
      </w:r>
    </w:p>
    <w:p w:rsidR="00FD7DA7" w:rsidRDefault="00FD7DA7" w:rsidP="00FD7DA7">
      <w:pPr>
        <w:pBdr>
          <w:top w:val="single" w:sz="4" w:space="1" w:color="auto"/>
          <w:left w:val="single" w:sz="4" w:space="4" w:color="auto"/>
          <w:bottom w:val="single" w:sz="4" w:space="1" w:color="auto"/>
          <w:right w:val="single" w:sz="4" w:space="0" w:color="auto"/>
        </w:pBdr>
        <w:ind w:left="357" w:right="510"/>
        <w:jc w:val="both"/>
        <w:rPr>
          <w:rFonts w:cs="Arial"/>
          <w:i/>
        </w:rPr>
      </w:pPr>
    </w:p>
    <w:p w:rsidR="00FD7DA7" w:rsidRPr="00852CE5" w:rsidRDefault="00FD7DA7" w:rsidP="00FD7DA7">
      <w:pPr>
        <w:pBdr>
          <w:top w:val="single" w:sz="4" w:space="1" w:color="auto"/>
          <w:left w:val="single" w:sz="4" w:space="4" w:color="auto"/>
          <w:bottom w:val="single" w:sz="4" w:space="1" w:color="auto"/>
          <w:right w:val="single" w:sz="4" w:space="0" w:color="auto"/>
        </w:pBdr>
        <w:ind w:left="357" w:right="510"/>
        <w:jc w:val="both"/>
        <w:rPr>
          <w:rFonts w:cs="Arial"/>
          <w:i/>
        </w:rPr>
      </w:pPr>
      <w:r w:rsidRPr="00852CE5">
        <w:rPr>
          <w:rFonts w:cs="Arial"/>
          <w:i/>
        </w:rPr>
        <w:t xml:space="preserve">Should we use the four Social Investment indicators – parental benefit dependence; CYF finding of abuse or neglect; parental Corrections history, parental education – or do you prefer other indicators, as well or instead? </w:t>
      </w:r>
    </w:p>
    <w:p w:rsidR="00FD7DA7" w:rsidRDefault="00FD7DA7" w:rsidP="00852CE5">
      <w:pPr>
        <w:pStyle w:val="TRBodyText"/>
        <w:jc w:val="both"/>
      </w:pPr>
    </w:p>
    <w:p w:rsidR="0033060F" w:rsidRDefault="0033060F">
      <w:pPr>
        <w:spacing w:line="240" w:lineRule="atLeast"/>
        <w:rPr>
          <w:rFonts w:eastAsia="Times New Roman" w:cs="Arial"/>
          <w:szCs w:val="20"/>
        </w:rPr>
      </w:pPr>
      <w:r>
        <w:rPr>
          <w:rFonts w:cs="Arial"/>
        </w:rPr>
        <w:br w:type="page"/>
      </w:r>
    </w:p>
    <w:p w:rsidR="0033060F" w:rsidRPr="0033060F" w:rsidRDefault="0033060F" w:rsidP="00852CE5">
      <w:pPr>
        <w:pStyle w:val="TRBodyText"/>
        <w:jc w:val="both"/>
        <w:rPr>
          <w:rFonts w:cs="Arial"/>
          <w:sz w:val="6"/>
          <w:szCs w:val="6"/>
        </w:rPr>
      </w:pPr>
    </w:p>
    <w:p w:rsidR="00867BAC" w:rsidRPr="000025B5" w:rsidRDefault="00867BAC" w:rsidP="00096EB8">
      <w:pPr>
        <w:pStyle w:val="Caption"/>
        <w:keepNext/>
        <w:jc w:val="center"/>
        <w:rPr>
          <w:rFonts w:ascii="Arial" w:hAnsi="Arial" w:cs="Arial"/>
          <w:color w:val="auto"/>
          <w:sz w:val="22"/>
          <w:szCs w:val="22"/>
        </w:rPr>
      </w:pPr>
      <w:bookmarkStart w:id="20" w:name="_Ref452028396"/>
      <w:r w:rsidRPr="000025B5">
        <w:rPr>
          <w:rFonts w:ascii="Arial" w:hAnsi="Arial" w:cs="Arial"/>
          <w:color w:val="auto"/>
          <w:sz w:val="22"/>
          <w:szCs w:val="22"/>
        </w:rPr>
        <w:t xml:space="preserve">Table </w:t>
      </w:r>
      <w:r w:rsidR="0072202C" w:rsidRPr="000025B5">
        <w:rPr>
          <w:rFonts w:ascii="Arial" w:hAnsi="Arial" w:cs="Arial"/>
          <w:color w:val="auto"/>
          <w:sz w:val="22"/>
          <w:szCs w:val="22"/>
        </w:rPr>
        <w:fldChar w:fldCharType="begin"/>
      </w:r>
      <w:r w:rsidR="000A48E6" w:rsidRPr="000025B5">
        <w:rPr>
          <w:rFonts w:ascii="Arial" w:hAnsi="Arial" w:cs="Arial"/>
          <w:color w:val="auto"/>
          <w:sz w:val="22"/>
          <w:szCs w:val="22"/>
        </w:rPr>
        <w:instrText xml:space="preserve"> SEQ Table \* ARABIC </w:instrText>
      </w:r>
      <w:r w:rsidR="0072202C" w:rsidRPr="000025B5">
        <w:rPr>
          <w:rFonts w:ascii="Arial" w:hAnsi="Arial" w:cs="Arial"/>
          <w:color w:val="auto"/>
          <w:sz w:val="22"/>
          <w:szCs w:val="22"/>
        </w:rPr>
        <w:fldChar w:fldCharType="separate"/>
      </w:r>
      <w:r w:rsidR="00912CD2" w:rsidRPr="000025B5">
        <w:rPr>
          <w:rFonts w:ascii="Arial" w:hAnsi="Arial" w:cs="Arial"/>
          <w:noProof/>
          <w:color w:val="auto"/>
          <w:sz w:val="22"/>
          <w:szCs w:val="22"/>
        </w:rPr>
        <w:t>3</w:t>
      </w:r>
      <w:r w:rsidR="0072202C" w:rsidRPr="000025B5">
        <w:rPr>
          <w:rFonts w:ascii="Arial" w:hAnsi="Arial" w:cs="Arial"/>
          <w:color w:val="auto"/>
          <w:sz w:val="22"/>
          <w:szCs w:val="22"/>
        </w:rPr>
        <w:fldChar w:fldCharType="end"/>
      </w:r>
      <w:bookmarkEnd w:id="17"/>
      <w:bookmarkEnd w:id="20"/>
      <w:r w:rsidR="008A2385" w:rsidRPr="000025B5">
        <w:rPr>
          <w:rFonts w:ascii="Arial" w:hAnsi="Arial" w:cs="Arial"/>
          <w:color w:val="auto"/>
          <w:sz w:val="22"/>
          <w:szCs w:val="22"/>
        </w:rPr>
        <w:t>:</w:t>
      </w:r>
      <w:r w:rsidRPr="000025B5">
        <w:rPr>
          <w:rFonts w:ascii="Arial" w:hAnsi="Arial" w:cs="Arial"/>
          <w:color w:val="auto"/>
          <w:sz w:val="22"/>
          <w:szCs w:val="22"/>
        </w:rPr>
        <w:t xml:space="preserve"> </w:t>
      </w:r>
      <w:r w:rsidR="00BD5DE8" w:rsidRPr="000025B5">
        <w:rPr>
          <w:rFonts w:ascii="Arial" w:hAnsi="Arial" w:cs="Arial"/>
          <w:color w:val="auto"/>
          <w:sz w:val="22"/>
          <w:szCs w:val="22"/>
        </w:rPr>
        <w:t>P</w:t>
      </w:r>
      <w:r w:rsidR="00463846" w:rsidRPr="000025B5">
        <w:rPr>
          <w:rFonts w:ascii="Arial" w:hAnsi="Arial" w:cs="Arial"/>
          <w:color w:val="auto"/>
          <w:sz w:val="22"/>
          <w:szCs w:val="22"/>
        </w:rPr>
        <w:t>ossible</w:t>
      </w:r>
      <w:r w:rsidRPr="000025B5">
        <w:rPr>
          <w:rFonts w:ascii="Arial" w:hAnsi="Arial" w:cs="Arial"/>
          <w:color w:val="auto"/>
          <w:sz w:val="22"/>
          <w:szCs w:val="22"/>
        </w:rPr>
        <w:t xml:space="preserve"> indicators of risk o</w:t>
      </w:r>
      <w:r w:rsidR="00463846" w:rsidRPr="000025B5">
        <w:rPr>
          <w:rFonts w:ascii="Arial" w:hAnsi="Arial" w:cs="Arial"/>
          <w:color w:val="auto"/>
          <w:sz w:val="22"/>
          <w:szCs w:val="22"/>
        </w:rPr>
        <w:t>f educational under-achievement</w:t>
      </w:r>
    </w:p>
    <w:tbl>
      <w:tblPr>
        <w:tblStyle w:val="FiveGoals"/>
        <w:tblW w:w="10671" w:type="dxa"/>
        <w:jc w:val="center"/>
        <w:tblLook w:val="0420"/>
      </w:tblPr>
      <w:tblGrid>
        <w:gridCol w:w="1951"/>
        <w:gridCol w:w="2126"/>
        <w:gridCol w:w="2552"/>
        <w:gridCol w:w="4042"/>
      </w:tblGrid>
      <w:tr w:rsidR="00867BAC" w:rsidTr="00096EB8">
        <w:trPr>
          <w:cnfStyle w:val="100000000000"/>
          <w:jc w:val="center"/>
        </w:trPr>
        <w:tc>
          <w:tcPr>
            <w:tcW w:w="1951" w:type="dxa"/>
          </w:tcPr>
          <w:p w:rsidR="00867BAC" w:rsidRPr="00815AFF" w:rsidRDefault="00867BAC" w:rsidP="004A2B55">
            <w:pPr>
              <w:spacing w:before="60" w:after="60"/>
              <w:rPr>
                <w:rFonts w:cs="Arial"/>
                <w:sz w:val="20"/>
                <w:szCs w:val="20"/>
              </w:rPr>
            </w:pPr>
            <w:r w:rsidRPr="00815AFF">
              <w:rPr>
                <w:rFonts w:cs="Arial"/>
                <w:sz w:val="20"/>
                <w:szCs w:val="20"/>
              </w:rPr>
              <w:t>Possible Indictor</w:t>
            </w:r>
          </w:p>
        </w:tc>
        <w:tc>
          <w:tcPr>
            <w:tcW w:w="2126" w:type="dxa"/>
          </w:tcPr>
          <w:p w:rsidR="00867BAC" w:rsidRPr="00815AFF" w:rsidRDefault="00867BAC" w:rsidP="004A2B55">
            <w:pPr>
              <w:spacing w:before="60" w:after="60"/>
              <w:rPr>
                <w:rFonts w:cs="Arial"/>
                <w:sz w:val="20"/>
                <w:szCs w:val="20"/>
              </w:rPr>
            </w:pPr>
            <w:r w:rsidRPr="00815AFF">
              <w:rPr>
                <w:rFonts w:cs="Arial"/>
                <w:sz w:val="20"/>
                <w:szCs w:val="20"/>
              </w:rPr>
              <w:t>Possible source</w:t>
            </w:r>
          </w:p>
        </w:tc>
        <w:tc>
          <w:tcPr>
            <w:tcW w:w="2552" w:type="dxa"/>
          </w:tcPr>
          <w:p w:rsidR="00867BAC" w:rsidRPr="00815AFF" w:rsidRDefault="00867BAC" w:rsidP="004A2B55">
            <w:pPr>
              <w:spacing w:before="60" w:after="60"/>
              <w:rPr>
                <w:rFonts w:cs="Arial"/>
                <w:sz w:val="20"/>
                <w:szCs w:val="20"/>
              </w:rPr>
            </w:pPr>
            <w:r w:rsidRPr="00815AFF">
              <w:rPr>
                <w:rFonts w:cs="Arial"/>
                <w:sz w:val="20"/>
                <w:szCs w:val="20"/>
              </w:rPr>
              <w:t>Advantages</w:t>
            </w:r>
          </w:p>
        </w:tc>
        <w:tc>
          <w:tcPr>
            <w:tcW w:w="4042" w:type="dxa"/>
          </w:tcPr>
          <w:p w:rsidR="00867BAC" w:rsidRPr="00815AFF" w:rsidRDefault="00867BAC" w:rsidP="004A2B55">
            <w:pPr>
              <w:spacing w:before="60" w:after="60"/>
              <w:rPr>
                <w:rFonts w:cs="Arial"/>
                <w:sz w:val="20"/>
                <w:szCs w:val="20"/>
              </w:rPr>
            </w:pPr>
            <w:r w:rsidRPr="00815AFF">
              <w:rPr>
                <w:rFonts w:cs="Arial"/>
                <w:sz w:val="20"/>
                <w:szCs w:val="20"/>
              </w:rPr>
              <w:t>Issues and Risks</w:t>
            </w:r>
          </w:p>
        </w:tc>
      </w:tr>
      <w:tr w:rsidR="003D665C" w:rsidTr="00096EB8">
        <w:trPr>
          <w:jc w:val="center"/>
        </w:trPr>
        <w:tc>
          <w:tcPr>
            <w:tcW w:w="1951" w:type="dxa"/>
          </w:tcPr>
          <w:p w:rsidR="003D665C" w:rsidRDefault="003D665C" w:rsidP="004A2B55">
            <w:pPr>
              <w:rPr>
                <w:rFonts w:cs="Arial"/>
                <w:color w:val="000000"/>
                <w:szCs w:val="20"/>
              </w:rPr>
            </w:pPr>
            <w:r w:rsidRPr="00F52FAE">
              <w:rPr>
                <w:rFonts w:cs="Arial"/>
                <w:b/>
                <w:color w:val="000000"/>
                <w:szCs w:val="20"/>
              </w:rPr>
              <w:t>Parental benefit dependence</w:t>
            </w:r>
            <w:r w:rsidR="00463846">
              <w:rPr>
                <w:rFonts w:cs="Arial"/>
                <w:color w:val="000000"/>
                <w:szCs w:val="20"/>
              </w:rPr>
              <w:t xml:space="preserve"> (as a proportion of child or young person’s life)</w:t>
            </w:r>
          </w:p>
        </w:tc>
        <w:tc>
          <w:tcPr>
            <w:tcW w:w="2126" w:type="dxa"/>
          </w:tcPr>
          <w:p w:rsidR="003D665C" w:rsidRDefault="003D665C" w:rsidP="004A2B55">
            <w:pPr>
              <w:spacing w:before="60" w:after="60"/>
              <w:rPr>
                <w:rFonts w:cs="Arial"/>
              </w:rPr>
            </w:pPr>
            <w:r>
              <w:rPr>
                <w:rFonts w:cs="Arial"/>
                <w:color w:val="000000"/>
                <w:szCs w:val="20"/>
              </w:rPr>
              <w:t>Approved information sharing agreement (AISA) with Ministry of Social Development</w:t>
            </w:r>
          </w:p>
        </w:tc>
        <w:tc>
          <w:tcPr>
            <w:tcW w:w="2552" w:type="dxa"/>
          </w:tcPr>
          <w:p w:rsidR="003D665C" w:rsidRDefault="00463846" w:rsidP="004A2B55">
            <w:pPr>
              <w:spacing w:before="60" w:after="60"/>
              <w:rPr>
                <w:rFonts w:cs="Arial"/>
              </w:rPr>
            </w:pPr>
            <w:r>
              <w:rPr>
                <w:rFonts w:cs="Arial"/>
              </w:rPr>
              <w:t xml:space="preserve">Used in Social Investment analysis; accounts for </w:t>
            </w:r>
            <w:r w:rsidR="00CB7AA7">
              <w:rPr>
                <w:rFonts w:cs="Arial"/>
              </w:rPr>
              <w:t xml:space="preserve">a </w:t>
            </w:r>
            <w:r>
              <w:rPr>
                <w:rFonts w:cs="Arial"/>
              </w:rPr>
              <w:t>relatively large</w:t>
            </w:r>
            <w:r w:rsidR="00CB7AA7">
              <w:rPr>
                <w:rFonts w:cs="Arial"/>
              </w:rPr>
              <w:t xml:space="preserve"> group of non-achievers</w:t>
            </w:r>
          </w:p>
        </w:tc>
        <w:tc>
          <w:tcPr>
            <w:tcW w:w="4042" w:type="dxa"/>
          </w:tcPr>
          <w:p w:rsidR="003D665C" w:rsidRDefault="004D54D4" w:rsidP="004A2B55">
            <w:pPr>
              <w:spacing w:before="60" w:after="60"/>
              <w:rPr>
                <w:rFonts w:cs="Arial"/>
              </w:rPr>
            </w:pPr>
            <w:r>
              <w:rPr>
                <w:rFonts w:cs="Arial"/>
              </w:rPr>
              <w:t>If set of indicators exclusively rely on measures that use admin</w:t>
            </w:r>
            <w:r w:rsidR="0061021C">
              <w:rPr>
                <w:rFonts w:cs="Arial"/>
              </w:rPr>
              <w:t>istrative data, could skew the at-risk</w:t>
            </w:r>
            <w:r>
              <w:rPr>
                <w:rFonts w:cs="Arial"/>
              </w:rPr>
              <w:t xml:space="preserve"> population too much towards families receiving government interventions or support</w:t>
            </w:r>
          </w:p>
        </w:tc>
      </w:tr>
      <w:tr w:rsidR="003D665C" w:rsidTr="00096EB8">
        <w:trPr>
          <w:jc w:val="center"/>
        </w:trPr>
        <w:tc>
          <w:tcPr>
            <w:tcW w:w="1951" w:type="dxa"/>
          </w:tcPr>
          <w:p w:rsidR="003D665C" w:rsidRPr="00F52FAE" w:rsidRDefault="00A818CB" w:rsidP="004A2B55">
            <w:pPr>
              <w:rPr>
                <w:rFonts w:cs="Arial"/>
                <w:b/>
                <w:color w:val="000000"/>
                <w:szCs w:val="20"/>
              </w:rPr>
            </w:pPr>
            <w:r w:rsidRPr="00A818CB">
              <w:rPr>
                <w:rFonts w:cs="Arial"/>
                <w:b/>
                <w:color w:val="000000"/>
                <w:szCs w:val="20"/>
              </w:rPr>
              <w:t xml:space="preserve">Child Youth and Family </w:t>
            </w:r>
            <w:r>
              <w:rPr>
                <w:rFonts w:cs="Arial"/>
                <w:b/>
                <w:color w:val="000000"/>
                <w:szCs w:val="20"/>
              </w:rPr>
              <w:t>(</w:t>
            </w:r>
            <w:r w:rsidR="003D665C" w:rsidRPr="00F52FAE">
              <w:rPr>
                <w:rFonts w:cs="Arial"/>
                <w:b/>
                <w:color w:val="000000"/>
                <w:szCs w:val="20"/>
              </w:rPr>
              <w:t>CYF</w:t>
            </w:r>
            <w:r>
              <w:rPr>
                <w:rFonts w:cs="Arial"/>
                <w:b/>
                <w:color w:val="000000"/>
                <w:szCs w:val="20"/>
              </w:rPr>
              <w:t>)</w:t>
            </w:r>
            <w:r w:rsidR="003D665C" w:rsidRPr="00F52FAE">
              <w:rPr>
                <w:rFonts w:cs="Arial"/>
                <w:b/>
                <w:color w:val="000000"/>
                <w:szCs w:val="20"/>
              </w:rPr>
              <w:t xml:space="preserve"> finding of abuse or neglect</w:t>
            </w:r>
          </w:p>
        </w:tc>
        <w:tc>
          <w:tcPr>
            <w:tcW w:w="2126" w:type="dxa"/>
          </w:tcPr>
          <w:p w:rsidR="003D665C" w:rsidRDefault="003D665C" w:rsidP="005674FE">
            <w:pPr>
              <w:rPr>
                <w:rFonts w:cs="Arial"/>
                <w:color w:val="000000"/>
                <w:szCs w:val="20"/>
              </w:rPr>
            </w:pPr>
            <w:r>
              <w:rPr>
                <w:rFonts w:cs="Arial"/>
                <w:color w:val="000000"/>
                <w:szCs w:val="20"/>
              </w:rPr>
              <w:t>AISA with Ministry of Social Development</w:t>
            </w:r>
          </w:p>
        </w:tc>
        <w:tc>
          <w:tcPr>
            <w:tcW w:w="2552" w:type="dxa"/>
          </w:tcPr>
          <w:p w:rsidR="003D665C" w:rsidRDefault="00463846" w:rsidP="004A2B55">
            <w:pPr>
              <w:spacing w:before="60" w:after="60"/>
              <w:rPr>
                <w:rFonts w:cs="Arial"/>
              </w:rPr>
            </w:pPr>
            <w:r>
              <w:rPr>
                <w:rFonts w:cs="Arial"/>
              </w:rPr>
              <w:t>Used in Social Investment analysis; aligns with CYF transformation work</w:t>
            </w:r>
          </w:p>
        </w:tc>
        <w:tc>
          <w:tcPr>
            <w:tcW w:w="4042" w:type="dxa"/>
          </w:tcPr>
          <w:p w:rsidR="003D665C" w:rsidRDefault="004D54D4" w:rsidP="000D7685">
            <w:pPr>
              <w:spacing w:before="60" w:after="60"/>
              <w:rPr>
                <w:rFonts w:cs="Arial"/>
              </w:rPr>
            </w:pPr>
            <w:r>
              <w:rPr>
                <w:rFonts w:cs="Arial"/>
              </w:rPr>
              <w:t xml:space="preserve">As </w:t>
            </w:r>
            <w:r w:rsidR="00CC0D14">
              <w:rPr>
                <w:rFonts w:cs="Arial"/>
              </w:rPr>
              <w:t xml:space="preserve">with benefit dependence </w:t>
            </w:r>
            <w:r>
              <w:rPr>
                <w:rFonts w:cs="Arial"/>
              </w:rPr>
              <w:t>above</w:t>
            </w:r>
          </w:p>
        </w:tc>
      </w:tr>
      <w:tr w:rsidR="003D665C" w:rsidTr="00096EB8">
        <w:trPr>
          <w:jc w:val="center"/>
        </w:trPr>
        <w:tc>
          <w:tcPr>
            <w:tcW w:w="1951" w:type="dxa"/>
          </w:tcPr>
          <w:p w:rsidR="003D665C" w:rsidRPr="00F52FAE" w:rsidRDefault="003D665C" w:rsidP="004A2B55">
            <w:pPr>
              <w:spacing w:after="60"/>
              <w:rPr>
                <w:rFonts w:cs="Arial"/>
                <w:b/>
                <w:color w:val="000000"/>
                <w:szCs w:val="20"/>
              </w:rPr>
            </w:pPr>
            <w:r w:rsidRPr="00F52FAE">
              <w:rPr>
                <w:rFonts w:cs="Arial"/>
                <w:b/>
                <w:color w:val="000000"/>
                <w:szCs w:val="20"/>
              </w:rPr>
              <w:t>Parental Corrections history</w:t>
            </w:r>
          </w:p>
        </w:tc>
        <w:tc>
          <w:tcPr>
            <w:tcW w:w="2126" w:type="dxa"/>
          </w:tcPr>
          <w:p w:rsidR="003D665C" w:rsidRDefault="003D665C" w:rsidP="004A2B55">
            <w:pPr>
              <w:spacing w:after="60"/>
              <w:rPr>
                <w:rFonts w:cs="Arial"/>
                <w:color w:val="000000"/>
                <w:szCs w:val="20"/>
              </w:rPr>
            </w:pPr>
            <w:r>
              <w:rPr>
                <w:rFonts w:cs="Arial"/>
                <w:color w:val="000000"/>
                <w:szCs w:val="20"/>
              </w:rPr>
              <w:t>AISA with Department of Corrections</w:t>
            </w:r>
          </w:p>
        </w:tc>
        <w:tc>
          <w:tcPr>
            <w:tcW w:w="2552" w:type="dxa"/>
          </w:tcPr>
          <w:p w:rsidR="003D665C" w:rsidRDefault="00463846" w:rsidP="004A2B55">
            <w:pPr>
              <w:spacing w:before="60" w:after="60"/>
              <w:rPr>
                <w:rFonts w:cs="Arial"/>
              </w:rPr>
            </w:pPr>
            <w:r>
              <w:rPr>
                <w:rFonts w:cs="Arial"/>
              </w:rPr>
              <w:t>Used in Social Investment analysis</w:t>
            </w:r>
          </w:p>
        </w:tc>
        <w:tc>
          <w:tcPr>
            <w:tcW w:w="4042" w:type="dxa"/>
          </w:tcPr>
          <w:p w:rsidR="003D665C" w:rsidRDefault="00CC0D14" w:rsidP="000D7685">
            <w:pPr>
              <w:spacing w:before="60" w:after="60"/>
              <w:rPr>
                <w:rFonts w:cs="Arial"/>
              </w:rPr>
            </w:pPr>
            <w:r>
              <w:rPr>
                <w:rFonts w:cs="Arial"/>
              </w:rPr>
              <w:t>As with benefit dependence above</w:t>
            </w:r>
          </w:p>
        </w:tc>
      </w:tr>
      <w:tr w:rsidR="003D665C" w:rsidTr="00096EB8">
        <w:trPr>
          <w:jc w:val="center"/>
        </w:trPr>
        <w:tc>
          <w:tcPr>
            <w:tcW w:w="1951" w:type="dxa"/>
          </w:tcPr>
          <w:p w:rsidR="003D665C" w:rsidRPr="00F52FAE" w:rsidRDefault="003D665C" w:rsidP="004A2B55">
            <w:pPr>
              <w:rPr>
                <w:rFonts w:cs="Arial"/>
                <w:b/>
                <w:color w:val="000000"/>
                <w:szCs w:val="20"/>
              </w:rPr>
            </w:pPr>
            <w:r w:rsidRPr="00F52FAE">
              <w:rPr>
                <w:rFonts w:cs="Arial"/>
                <w:b/>
                <w:color w:val="000000"/>
                <w:szCs w:val="20"/>
              </w:rPr>
              <w:t>Parental education</w:t>
            </w:r>
          </w:p>
        </w:tc>
        <w:tc>
          <w:tcPr>
            <w:tcW w:w="2126" w:type="dxa"/>
          </w:tcPr>
          <w:p w:rsidR="003D665C" w:rsidRDefault="0061021C" w:rsidP="004A2B55">
            <w:pPr>
              <w:rPr>
                <w:rFonts w:cs="Arial"/>
                <w:color w:val="000000"/>
                <w:szCs w:val="20"/>
              </w:rPr>
            </w:pPr>
            <w:r>
              <w:rPr>
                <w:rFonts w:cs="Arial"/>
                <w:color w:val="000000"/>
                <w:szCs w:val="20"/>
              </w:rPr>
              <w:t>Direct</w:t>
            </w:r>
            <w:r w:rsidR="003D665C">
              <w:rPr>
                <w:rFonts w:cs="Arial"/>
                <w:color w:val="000000"/>
                <w:szCs w:val="20"/>
              </w:rPr>
              <w:t xml:space="preserve"> collection via ECE services and schools</w:t>
            </w:r>
          </w:p>
        </w:tc>
        <w:tc>
          <w:tcPr>
            <w:tcW w:w="2552" w:type="dxa"/>
          </w:tcPr>
          <w:p w:rsidR="003D665C" w:rsidRDefault="00463846" w:rsidP="004A2B55">
            <w:pPr>
              <w:spacing w:before="60" w:after="60"/>
              <w:rPr>
                <w:rFonts w:cs="Arial"/>
              </w:rPr>
            </w:pPr>
            <w:r>
              <w:rPr>
                <w:rFonts w:cs="Arial"/>
              </w:rPr>
              <w:t>Established measure of SES; used in Australia; used in Social Investment analysis</w:t>
            </w:r>
          </w:p>
        </w:tc>
        <w:tc>
          <w:tcPr>
            <w:tcW w:w="4042" w:type="dxa"/>
          </w:tcPr>
          <w:p w:rsidR="003D665C" w:rsidRDefault="00CC0D14" w:rsidP="004A2B55">
            <w:pPr>
              <w:spacing w:before="60" w:after="60"/>
              <w:rPr>
                <w:rFonts w:cs="Arial"/>
              </w:rPr>
            </w:pPr>
            <w:r>
              <w:rPr>
                <w:rFonts w:cs="Arial"/>
              </w:rPr>
              <w:t xml:space="preserve">Some indications that impact on </w:t>
            </w:r>
            <w:r w:rsidR="00514711">
              <w:rPr>
                <w:rFonts w:cs="Arial"/>
              </w:rPr>
              <w:t>under-</w:t>
            </w:r>
            <w:r>
              <w:rPr>
                <w:rFonts w:cs="Arial"/>
              </w:rPr>
              <w:t xml:space="preserve">achievement may not be as </w:t>
            </w:r>
            <w:r w:rsidR="00514711">
              <w:rPr>
                <w:rFonts w:cs="Arial"/>
              </w:rPr>
              <w:t>strong</w:t>
            </w:r>
            <w:r>
              <w:rPr>
                <w:rFonts w:cs="Arial"/>
              </w:rPr>
              <w:t xml:space="preserve"> as other Social Investment indicators above; likely to require direct collect</w:t>
            </w:r>
            <w:r w:rsidR="0061021C">
              <w:rPr>
                <w:rFonts w:cs="Arial"/>
              </w:rPr>
              <w:t>ion</w:t>
            </w:r>
          </w:p>
        </w:tc>
      </w:tr>
      <w:tr w:rsidR="003D665C" w:rsidTr="00096EB8">
        <w:trPr>
          <w:jc w:val="center"/>
        </w:trPr>
        <w:tc>
          <w:tcPr>
            <w:tcW w:w="1951" w:type="dxa"/>
          </w:tcPr>
          <w:p w:rsidR="003D665C" w:rsidRDefault="003D665C" w:rsidP="004A2B55">
            <w:pPr>
              <w:spacing w:before="60" w:after="60"/>
              <w:rPr>
                <w:rFonts w:cs="Arial"/>
              </w:rPr>
            </w:pPr>
            <w:r>
              <w:rPr>
                <w:rFonts w:cs="Arial"/>
              </w:rPr>
              <w:t>Parental Income</w:t>
            </w:r>
          </w:p>
        </w:tc>
        <w:tc>
          <w:tcPr>
            <w:tcW w:w="2126" w:type="dxa"/>
          </w:tcPr>
          <w:p w:rsidR="003D665C" w:rsidRDefault="003D665C" w:rsidP="004A2B55">
            <w:pPr>
              <w:spacing w:before="60" w:after="60"/>
              <w:rPr>
                <w:rFonts w:cs="Arial"/>
              </w:rPr>
            </w:pPr>
            <w:r>
              <w:rPr>
                <w:rFonts w:cs="Arial"/>
              </w:rPr>
              <w:t>Direct collection? AISA with IRD?</w:t>
            </w:r>
          </w:p>
        </w:tc>
        <w:tc>
          <w:tcPr>
            <w:tcW w:w="2552" w:type="dxa"/>
          </w:tcPr>
          <w:p w:rsidR="003D665C" w:rsidRDefault="003D665C" w:rsidP="004A2B55">
            <w:pPr>
              <w:spacing w:before="60" w:after="60"/>
              <w:rPr>
                <w:rFonts w:cs="Arial"/>
              </w:rPr>
            </w:pPr>
            <w:r>
              <w:rPr>
                <w:rFonts w:cs="Arial"/>
              </w:rPr>
              <w:t>Most obvious and intuitive measure of SES</w:t>
            </w:r>
          </w:p>
        </w:tc>
        <w:tc>
          <w:tcPr>
            <w:tcW w:w="4042" w:type="dxa"/>
          </w:tcPr>
          <w:p w:rsidR="003D665C" w:rsidRDefault="003D665C" w:rsidP="004A2B55">
            <w:pPr>
              <w:spacing w:before="60" w:after="60"/>
              <w:rPr>
                <w:rFonts w:cs="Arial"/>
              </w:rPr>
            </w:pPr>
            <w:r>
              <w:rPr>
                <w:rFonts w:cs="Arial"/>
              </w:rPr>
              <w:t>S</w:t>
            </w:r>
            <w:r w:rsidR="00743E59">
              <w:rPr>
                <w:rFonts w:cs="Arial"/>
              </w:rPr>
              <w:t xml:space="preserve">ensitivities about collection; </w:t>
            </w:r>
            <w:r w:rsidR="00514711">
              <w:rPr>
                <w:rFonts w:cs="Arial"/>
              </w:rPr>
              <w:t>accuracy</w:t>
            </w:r>
            <w:r w:rsidR="00743E59">
              <w:rPr>
                <w:rFonts w:cs="Arial"/>
              </w:rPr>
              <w:t xml:space="preserve"> of income data</w:t>
            </w:r>
            <w:r w:rsidR="00514711">
              <w:rPr>
                <w:rFonts w:cs="Arial"/>
              </w:rPr>
              <w:t xml:space="preserve">; </w:t>
            </w:r>
            <w:r w:rsidR="00743E59">
              <w:rPr>
                <w:rFonts w:cs="Arial"/>
              </w:rPr>
              <w:t xml:space="preserve">fluctuation of </w:t>
            </w:r>
            <w:r w:rsidR="00514711">
              <w:rPr>
                <w:rFonts w:cs="Arial"/>
              </w:rPr>
              <w:t xml:space="preserve">income </w:t>
            </w:r>
          </w:p>
        </w:tc>
      </w:tr>
      <w:tr w:rsidR="003D665C" w:rsidTr="00096EB8">
        <w:trPr>
          <w:jc w:val="center"/>
        </w:trPr>
        <w:tc>
          <w:tcPr>
            <w:tcW w:w="1951" w:type="dxa"/>
          </w:tcPr>
          <w:p w:rsidR="003D665C" w:rsidRDefault="003D665C" w:rsidP="004A2B55">
            <w:pPr>
              <w:spacing w:before="60" w:after="60"/>
              <w:rPr>
                <w:rFonts w:cs="Arial"/>
              </w:rPr>
            </w:pPr>
            <w:r>
              <w:rPr>
                <w:rFonts w:cs="Arial"/>
              </w:rPr>
              <w:t>Parental occupation</w:t>
            </w:r>
          </w:p>
        </w:tc>
        <w:tc>
          <w:tcPr>
            <w:tcW w:w="2126" w:type="dxa"/>
          </w:tcPr>
          <w:p w:rsidR="003D665C" w:rsidRDefault="003D665C" w:rsidP="004A2B55">
            <w:pPr>
              <w:spacing w:before="60" w:after="60"/>
              <w:rPr>
                <w:rFonts w:cs="Arial"/>
              </w:rPr>
            </w:pPr>
            <w:r>
              <w:rPr>
                <w:rFonts w:cs="Arial"/>
              </w:rPr>
              <w:t>Direct collection</w:t>
            </w:r>
          </w:p>
        </w:tc>
        <w:tc>
          <w:tcPr>
            <w:tcW w:w="2552" w:type="dxa"/>
          </w:tcPr>
          <w:p w:rsidR="003D665C" w:rsidRDefault="003D665C" w:rsidP="004A2B55">
            <w:pPr>
              <w:spacing w:before="60" w:after="60"/>
              <w:rPr>
                <w:rFonts w:cs="Arial"/>
              </w:rPr>
            </w:pPr>
            <w:r>
              <w:rPr>
                <w:rFonts w:cs="Arial"/>
              </w:rPr>
              <w:t>Established measure of SES; used in Australia</w:t>
            </w:r>
          </w:p>
        </w:tc>
        <w:tc>
          <w:tcPr>
            <w:tcW w:w="4042" w:type="dxa"/>
          </w:tcPr>
          <w:p w:rsidR="003D665C" w:rsidRDefault="003D665C" w:rsidP="004A2B55">
            <w:pPr>
              <w:spacing w:before="60" w:after="60"/>
              <w:rPr>
                <w:rFonts w:cs="Arial"/>
              </w:rPr>
            </w:pPr>
            <w:r>
              <w:rPr>
                <w:rFonts w:cs="Arial"/>
              </w:rPr>
              <w:t>May be difficult to categorise responses</w:t>
            </w:r>
          </w:p>
        </w:tc>
      </w:tr>
      <w:tr w:rsidR="003D665C" w:rsidTr="00096EB8">
        <w:trPr>
          <w:jc w:val="center"/>
        </w:trPr>
        <w:tc>
          <w:tcPr>
            <w:tcW w:w="1951" w:type="dxa"/>
          </w:tcPr>
          <w:p w:rsidR="003D665C" w:rsidRDefault="003D665C" w:rsidP="004A2B55">
            <w:pPr>
              <w:spacing w:before="60" w:after="60"/>
              <w:rPr>
                <w:rFonts w:cs="Arial"/>
              </w:rPr>
            </w:pPr>
            <w:r>
              <w:rPr>
                <w:rFonts w:cs="Arial"/>
              </w:rPr>
              <w:t>‘Vulnerable children’</w:t>
            </w:r>
          </w:p>
        </w:tc>
        <w:tc>
          <w:tcPr>
            <w:tcW w:w="2126" w:type="dxa"/>
          </w:tcPr>
          <w:p w:rsidR="003D665C" w:rsidRDefault="003D665C" w:rsidP="004A2B55">
            <w:pPr>
              <w:spacing w:before="60" w:after="60"/>
              <w:rPr>
                <w:rFonts w:cs="Arial"/>
              </w:rPr>
            </w:pPr>
            <w:r>
              <w:rPr>
                <w:rFonts w:cs="Arial"/>
              </w:rPr>
              <w:t>AISA with MSD?</w:t>
            </w:r>
          </w:p>
        </w:tc>
        <w:tc>
          <w:tcPr>
            <w:tcW w:w="2552" w:type="dxa"/>
          </w:tcPr>
          <w:p w:rsidR="003D665C" w:rsidRDefault="003D665C" w:rsidP="004A2B55">
            <w:pPr>
              <w:spacing w:before="60" w:after="60"/>
              <w:rPr>
                <w:rFonts w:cs="Arial"/>
              </w:rPr>
            </w:pPr>
            <w:r>
              <w:rPr>
                <w:rFonts w:cs="Arial"/>
              </w:rPr>
              <w:t>Aligns with CYF transformation work</w:t>
            </w:r>
          </w:p>
        </w:tc>
        <w:tc>
          <w:tcPr>
            <w:tcW w:w="4042" w:type="dxa"/>
          </w:tcPr>
          <w:p w:rsidR="003D665C" w:rsidRDefault="003D665C" w:rsidP="004A2B55">
            <w:pPr>
              <w:spacing w:before="60" w:after="60"/>
              <w:rPr>
                <w:rFonts w:cs="Arial"/>
              </w:rPr>
            </w:pPr>
            <w:r>
              <w:rPr>
                <w:rFonts w:cs="Arial"/>
              </w:rPr>
              <w:t>Sensitivities regarding ‘risk of future harm’ at individual level</w:t>
            </w:r>
          </w:p>
        </w:tc>
      </w:tr>
      <w:tr w:rsidR="003D665C" w:rsidTr="00096EB8">
        <w:trPr>
          <w:jc w:val="center"/>
        </w:trPr>
        <w:tc>
          <w:tcPr>
            <w:tcW w:w="1951" w:type="dxa"/>
          </w:tcPr>
          <w:p w:rsidR="003D665C" w:rsidRDefault="003D665C" w:rsidP="004A2B55">
            <w:pPr>
              <w:spacing w:before="60" w:after="60"/>
              <w:rPr>
                <w:rFonts w:cs="Arial"/>
              </w:rPr>
            </w:pPr>
            <w:r>
              <w:rPr>
                <w:rFonts w:cs="Arial"/>
              </w:rPr>
              <w:t>Prior achievement</w:t>
            </w:r>
          </w:p>
        </w:tc>
        <w:tc>
          <w:tcPr>
            <w:tcW w:w="2126" w:type="dxa"/>
          </w:tcPr>
          <w:p w:rsidR="003D665C" w:rsidRDefault="003D665C" w:rsidP="004A2B55">
            <w:pPr>
              <w:spacing w:before="60" w:after="60"/>
              <w:rPr>
                <w:rFonts w:cs="Arial"/>
              </w:rPr>
            </w:pPr>
            <w:r>
              <w:rPr>
                <w:rFonts w:cs="Arial"/>
              </w:rPr>
              <w:t>Individual National Standard results</w:t>
            </w:r>
          </w:p>
        </w:tc>
        <w:tc>
          <w:tcPr>
            <w:tcW w:w="2552" w:type="dxa"/>
          </w:tcPr>
          <w:p w:rsidR="003D665C" w:rsidRDefault="003D665C" w:rsidP="004A2B55">
            <w:pPr>
              <w:spacing w:before="60" w:after="60"/>
              <w:rPr>
                <w:rFonts w:cs="Arial"/>
              </w:rPr>
            </w:pPr>
            <w:r>
              <w:rPr>
                <w:rFonts w:cs="Arial"/>
              </w:rPr>
              <w:t>Prior achievement is known to be the strongest predictor of future achievement</w:t>
            </w:r>
          </w:p>
        </w:tc>
        <w:tc>
          <w:tcPr>
            <w:tcW w:w="4042" w:type="dxa"/>
          </w:tcPr>
          <w:p w:rsidR="003D665C" w:rsidRDefault="003D665C" w:rsidP="004A2B55">
            <w:pPr>
              <w:spacing w:before="60" w:after="60"/>
              <w:rPr>
                <w:rFonts w:cs="Arial"/>
              </w:rPr>
            </w:pPr>
            <w:r>
              <w:rPr>
                <w:rFonts w:cs="Arial"/>
              </w:rPr>
              <w:t>Comparability of National Standards data; individual data not collected centrally</w:t>
            </w:r>
            <w:r w:rsidR="005B206A">
              <w:rPr>
                <w:rFonts w:cs="Arial"/>
              </w:rPr>
              <w:t>.</w:t>
            </w:r>
          </w:p>
          <w:p w:rsidR="003D665C" w:rsidRDefault="003D665C" w:rsidP="004A2B55">
            <w:pPr>
              <w:spacing w:before="60" w:after="60"/>
              <w:rPr>
                <w:rFonts w:cs="Arial"/>
              </w:rPr>
            </w:pPr>
            <w:r>
              <w:rPr>
                <w:rFonts w:cs="Arial"/>
              </w:rPr>
              <w:t>Could ‘penalise’ schools with better National Standard results</w:t>
            </w:r>
            <w:r w:rsidR="00B72AF6">
              <w:rPr>
                <w:rFonts w:cs="Arial"/>
              </w:rPr>
              <w:t xml:space="preserve">, unless only </w:t>
            </w:r>
            <w:r w:rsidR="005E59D6">
              <w:rPr>
                <w:rFonts w:cs="Arial"/>
              </w:rPr>
              <w:t>used</w:t>
            </w:r>
            <w:r w:rsidR="00B72AF6">
              <w:rPr>
                <w:rFonts w:cs="Arial"/>
              </w:rPr>
              <w:t xml:space="preserve"> </w:t>
            </w:r>
            <w:r w:rsidR="005E59D6">
              <w:rPr>
                <w:rFonts w:cs="Arial"/>
              </w:rPr>
              <w:t>at primary-secondary transition</w:t>
            </w:r>
          </w:p>
        </w:tc>
      </w:tr>
      <w:tr w:rsidR="003D665C" w:rsidTr="00096EB8">
        <w:trPr>
          <w:jc w:val="center"/>
        </w:trPr>
        <w:tc>
          <w:tcPr>
            <w:tcW w:w="1951" w:type="dxa"/>
          </w:tcPr>
          <w:p w:rsidR="003D665C" w:rsidRDefault="003D665C" w:rsidP="004A2B55">
            <w:pPr>
              <w:spacing w:before="60" w:after="60"/>
              <w:rPr>
                <w:rFonts w:cs="Arial"/>
              </w:rPr>
            </w:pPr>
            <w:r>
              <w:rPr>
                <w:rFonts w:cs="Arial"/>
              </w:rPr>
              <w:t>Neighbourhood characteristics</w:t>
            </w:r>
          </w:p>
        </w:tc>
        <w:tc>
          <w:tcPr>
            <w:tcW w:w="2126" w:type="dxa"/>
          </w:tcPr>
          <w:p w:rsidR="003D665C" w:rsidRDefault="003D665C" w:rsidP="005674FE">
            <w:pPr>
              <w:spacing w:before="60" w:after="60"/>
              <w:rPr>
                <w:rFonts w:cs="Arial"/>
              </w:rPr>
            </w:pPr>
            <w:r>
              <w:rPr>
                <w:rFonts w:cs="Arial"/>
              </w:rPr>
              <w:t>Child’s address and Census meshblocks</w:t>
            </w:r>
          </w:p>
        </w:tc>
        <w:tc>
          <w:tcPr>
            <w:tcW w:w="2552" w:type="dxa"/>
          </w:tcPr>
          <w:p w:rsidR="003D665C" w:rsidRDefault="003D665C" w:rsidP="004A2B55">
            <w:pPr>
              <w:spacing w:before="60" w:after="60"/>
              <w:rPr>
                <w:rFonts w:cs="Arial"/>
              </w:rPr>
            </w:pPr>
            <w:r>
              <w:rPr>
                <w:rFonts w:cs="Arial"/>
              </w:rPr>
              <w:t>Ea</w:t>
            </w:r>
            <w:r w:rsidR="00CB7AA7">
              <w:rPr>
                <w:rFonts w:cs="Arial"/>
              </w:rPr>
              <w:t>sy to collect; currently in use (</w:t>
            </w:r>
            <w:proofErr w:type="spellStart"/>
            <w:r w:rsidR="00CB7AA7">
              <w:rPr>
                <w:rFonts w:cs="Arial"/>
              </w:rPr>
              <w:t>NZDep</w:t>
            </w:r>
            <w:proofErr w:type="spellEnd"/>
            <w:r w:rsidR="00CB7AA7">
              <w:rPr>
                <w:rFonts w:cs="Arial"/>
              </w:rPr>
              <w:t>, deciles)</w:t>
            </w:r>
          </w:p>
        </w:tc>
        <w:tc>
          <w:tcPr>
            <w:tcW w:w="4042" w:type="dxa"/>
          </w:tcPr>
          <w:p w:rsidR="003D665C" w:rsidRDefault="003D665C" w:rsidP="004A2B55">
            <w:pPr>
              <w:spacing w:before="60" w:after="60"/>
              <w:rPr>
                <w:rFonts w:cs="Arial"/>
              </w:rPr>
            </w:pPr>
            <w:r>
              <w:rPr>
                <w:rFonts w:cs="Arial"/>
              </w:rPr>
              <w:t>Would mischaracterise some households who differ from their neighbours</w:t>
            </w:r>
          </w:p>
        </w:tc>
      </w:tr>
      <w:tr w:rsidR="003D665C" w:rsidTr="00096EB8">
        <w:trPr>
          <w:jc w:val="center"/>
        </w:trPr>
        <w:tc>
          <w:tcPr>
            <w:tcW w:w="1951" w:type="dxa"/>
          </w:tcPr>
          <w:p w:rsidR="003D665C" w:rsidRDefault="003D665C" w:rsidP="004A2B55">
            <w:pPr>
              <w:spacing w:before="60" w:after="60"/>
              <w:rPr>
                <w:rFonts w:cs="Arial"/>
              </w:rPr>
            </w:pPr>
            <w:r>
              <w:rPr>
                <w:rFonts w:cs="Arial"/>
              </w:rPr>
              <w:t>Community Services Card</w:t>
            </w:r>
          </w:p>
        </w:tc>
        <w:tc>
          <w:tcPr>
            <w:tcW w:w="2126" w:type="dxa"/>
          </w:tcPr>
          <w:p w:rsidR="003D665C" w:rsidRDefault="003D665C" w:rsidP="004A2B55">
            <w:pPr>
              <w:spacing w:before="60" w:after="60"/>
              <w:rPr>
                <w:rFonts w:cs="Arial"/>
              </w:rPr>
            </w:pPr>
            <w:r>
              <w:rPr>
                <w:rFonts w:cs="Arial"/>
              </w:rPr>
              <w:t>Direct collection or AISA with Health</w:t>
            </w:r>
          </w:p>
        </w:tc>
        <w:tc>
          <w:tcPr>
            <w:tcW w:w="2552" w:type="dxa"/>
          </w:tcPr>
          <w:p w:rsidR="003D665C" w:rsidRDefault="003D665C" w:rsidP="004A2B55">
            <w:pPr>
              <w:spacing w:before="60" w:after="60"/>
              <w:rPr>
                <w:rFonts w:cs="Arial"/>
              </w:rPr>
            </w:pPr>
            <w:r>
              <w:rPr>
                <w:rFonts w:cs="Arial"/>
              </w:rPr>
              <w:t xml:space="preserve">Leverages existing measure of income </w:t>
            </w:r>
          </w:p>
        </w:tc>
        <w:tc>
          <w:tcPr>
            <w:tcW w:w="4042" w:type="dxa"/>
          </w:tcPr>
          <w:p w:rsidR="003D665C" w:rsidRDefault="003D665C" w:rsidP="004A2B55">
            <w:pPr>
              <w:spacing w:before="60" w:after="60"/>
              <w:rPr>
                <w:rFonts w:cs="Arial"/>
              </w:rPr>
            </w:pPr>
            <w:r>
              <w:rPr>
                <w:rFonts w:cs="Arial"/>
              </w:rPr>
              <w:t>Eligibility thresholds not customised for education; some eligible may not take up</w:t>
            </w:r>
          </w:p>
        </w:tc>
      </w:tr>
      <w:tr w:rsidR="003D665C" w:rsidTr="00096EB8">
        <w:trPr>
          <w:jc w:val="center"/>
        </w:trPr>
        <w:tc>
          <w:tcPr>
            <w:tcW w:w="1951" w:type="dxa"/>
          </w:tcPr>
          <w:p w:rsidR="003D665C" w:rsidRDefault="003D665C" w:rsidP="004A2B55">
            <w:pPr>
              <w:spacing w:before="60" w:after="60"/>
              <w:rPr>
                <w:rFonts w:cs="Arial"/>
              </w:rPr>
            </w:pPr>
            <w:r>
              <w:rPr>
                <w:rFonts w:cs="Arial"/>
              </w:rPr>
              <w:t>Transience</w:t>
            </w:r>
          </w:p>
        </w:tc>
        <w:tc>
          <w:tcPr>
            <w:tcW w:w="2126" w:type="dxa"/>
          </w:tcPr>
          <w:p w:rsidR="003D665C" w:rsidRDefault="00CC0D14" w:rsidP="004A2B55">
            <w:pPr>
              <w:spacing w:before="60" w:after="60"/>
              <w:rPr>
                <w:rFonts w:cs="Arial"/>
              </w:rPr>
            </w:pPr>
            <w:r>
              <w:rPr>
                <w:rFonts w:cs="Arial"/>
              </w:rPr>
              <w:t>Existing</w:t>
            </w:r>
            <w:r w:rsidRPr="00CC0D14">
              <w:rPr>
                <w:rFonts w:cs="Arial"/>
              </w:rPr>
              <w:t xml:space="preserve"> data on number of schools</w:t>
            </w:r>
            <w:r>
              <w:rPr>
                <w:rFonts w:cs="Arial"/>
              </w:rPr>
              <w:t>/ services</w:t>
            </w:r>
            <w:r w:rsidRPr="00CC0D14">
              <w:rPr>
                <w:rFonts w:cs="Arial"/>
              </w:rPr>
              <w:t xml:space="preserve"> attended</w:t>
            </w:r>
          </w:p>
        </w:tc>
        <w:tc>
          <w:tcPr>
            <w:tcW w:w="2552" w:type="dxa"/>
          </w:tcPr>
          <w:p w:rsidR="003D665C" w:rsidRDefault="003D665C" w:rsidP="004A2B55">
            <w:pPr>
              <w:spacing w:before="60" w:after="60"/>
              <w:rPr>
                <w:rFonts w:cs="Arial"/>
              </w:rPr>
            </w:pPr>
            <w:r>
              <w:rPr>
                <w:rFonts w:cs="Arial"/>
              </w:rPr>
              <w:t>Strong association with under-achievement</w:t>
            </w:r>
          </w:p>
        </w:tc>
        <w:tc>
          <w:tcPr>
            <w:tcW w:w="4042" w:type="dxa"/>
          </w:tcPr>
          <w:p w:rsidR="003D665C" w:rsidRDefault="003D665C" w:rsidP="004A2B55">
            <w:pPr>
              <w:spacing w:before="60" w:after="60"/>
              <w:rPr>
                <w:rFonts w:cs="Arial"/>
              </w:rPr>
            </w:pPr>
            <w:r>
              <w:rPr>
                <w:rFonts w:cs="Arial"/>
              </w:rPr>
              <w:t>Small group (who also have other risk factors)</w:t>
            </w:r>
            <w:r w:rsidR="001A1F7E">
              <w:rPr>
                <w:rFonts w:cs="Arial"/>
              </w:rPr>
              <w:t>. Resolving cause of transience may be more effective than funding.</w:t>
            </w:r>
          </w:p>
        </w:tc>
      </w:tr>
      <w:tr w:rsidR="003D665C" w:rsidTr="00096EB8">
        <w:trPr>
          <w:jc w:val="center"/>
        </w:trPr>
        <w:tc>
          <w:tcPr>
            <w:tcW w:w="1951" w:type="dxa"/>
          </w:tcPr>
          <w:p w:rsidR="0061021C" w:rsidRDefault="002627CE" w:rsidP="004A2B55">
            <w:pPr>
              <w:spacing w:before="60" w:after="60"/>
              <w:rPr>
                <w:rFonts w:cs="Arial"/>
              </w:rPr>
            </w:pPr>
            <w:r>
              <w:rPr>
                <w:rFonts w:cs="Arial"/>
              </w:rPr>
              <w:t xml:space="preserve">Truancy/ irregular attendance; </w:t>
            </w:r>
          </w:p>
          <w:p w:rsidR="003D665C" w:rsidRDefault="002627CE" w:rsidP="004A2B55">
            <w:pPr>
              <w:spacing w:before="60" w:after="60"/>
              <w:rPr>
                <w:rFonts w:cs="Arial"/>
              </w:rPr>
            </w:pPr>
            <w:r>
              <w:rPr>
                <w:rFonts w:cs="Arial"/>
              </w:rPr>
              <w:t>also s</w:t>
            </w:r>
            <w:r w:rsidR="003D665C">
              <w:rPr>
                <w:rFonts w:cs="Arial"/>
              </w:rPr>
              <w:t>tand-downs/ suspensions/ expulsions</w:t>
            </w:r>
            <w:r>
              <w:rPr>
                <w:rFonts w:cs="Arial"/>
              </w:rPr>
              <w:t xml:space="preserve"> </w:t>
            </w:r>
          </w:p>
        </w:tc>
        <w:tc>
          <w:tcPr>
            <w:tcW w:w="2126" w:type="dxa"/>
          </w:tcPr>
          <w:p w:rsidR="003D665C" w:rsidRDefault="003D665C" w:rsidP="004A2B55">
            <w:pPr>
              <w:spacing w:before="60" w:after="60"/>
              <w:rPr>
                <w:rFonts w:cs="Arial"/>
              </w:rPr>
            </w:pPr>
            <w:r>
              <w:rPr>
                <w:rFonts w:cs="Arial"/>
              </w:rPr>
              <w:t xml:space="preserve">Existing data held by schools </w:t>
            </w:r>
            <w:r w:rsidR="002627CE">
              <w:rPr>
                <w:rFonts w:cs="Arial"/>
              </w:rPr>
              <w:t>and services</w:t>
            </w:r>
          </w:p>
        </w:tc>
        <w:tc>
          <w:tcPr>
            <w:tcW w:w="2552" w:type="dxa"/>
          </w:tcPr>
          <w:p w:rsidR="003D665C" w:rsidRDefault="003D665C" w:rsidP="004A2B55">
            <w:pPr>
              <w:spacing w:before="60" w:after="60"/>
              <w:rPr>
                <w:rFonts w:cs="Arial"/>
              </w:rPr>
            </w:pPr>
            <w:r>
              <w:rPr>
                <w:rFonts w:cs="Arial"/>
              </w:rPr>
              <w:t>May broaden coverage by picking up risks not detected via SES factors</w:t>
            </w:r>
          </w:p>
        </w:tc>
        <w:tc>
          <w:tcPr>
            <w:tcW w:w="4042" w:type="dxa"/>
          </w:tcPr>
          <w:p w:rsidR="003D665C" w:rsidRDefault="003D665C" w:rsidP="005B206A">
            <w:pPr>
              <w:spacing w:before="60" w:after="60"/>
              <w:rPr>
                <w:rFonts w:cs="Arial"/>
              </w:rPr>
            </w:pPr>
            <w:r>
              <w:rPr>
                <w:rFonts w:cs="Arial"/>
              </w:rPr>
              <w:t xml:space="preserve">Could ‘penalise’ schools </w:t>
            </w:r>
            <w:r w:rsidR="002627CE">
              <w:rPr>
                <w:rFonts w:cs="Arial"/>
              </w:rPr>
              <w:t xml:space="preserve">and services </w:t>
            </w:r>
            <w:r w:rsidR="00743E59">
              <w:rPr>
                <w:rFonts w:cs="Arial"/>
              </w:rPr>
              <w:t>with</w:t>
            </w:r>
            <w:r>
              <w:rPr>
                <w:rFonts w:cs="Arial"/>
              </w:rPr>
              <w:t xml:space="preserve"> </w:t>
            </w:r>
            <w:r w:rsidR="00743E59">
              <w:rPr>
                <w:rFonts w:cs="Arial"/>
              </w:rPr>
              <w:t xml:space="preserve">most </w:t>
            </w:r>
            <w:r>
              <w:rPr>
                <w:rFonts w:cs="Arial"/>
              </w:rPr>
              <w:t xml:space="preserve">effective </w:t>
            </w:r>
            <w:r w:rsidR="00743E59">
              <w:rPr>
                <w:rFonts w:cs="Arial"/>
              </w:rPr>
              <w:t>practice, unless only used at transition points</w:t>
            </w:r>
            <w:r w:rsidR="00CB7AA7">
              <w:rPr>
                <w:rFonts w:cs="Arial"/>
              </w:rPr>
              <w:t xml:space="preserve">. </w:t>
            </w:r>
            <w:r w:rsidR="007D57AD">
              <w:rPr>
                <w:rFonts w:cs="Arial"/>
              </w:rPr>
              <w:t xml:space="preserve">Possibly </w:t>
            </w:r>
            <w:r w:rsidR="001A1F7E">
              <w:rPr>
                <w:rFonts w:cs="Arial"/>
              </w:rPr>
              <w:t xml:space="preserve">more </w:t>
            </w:r>
            <w:r w:rsidR="0061021C">
              <w:t>useful for identifying high-</w:t>
            </w:r>
            <w:r w:rsidR="00CB7AA7">
              <w:t xml:space="preserve">risk students </w:t>
            </w:r>
            <w:r w:rsidR="005B206A">
              <w:t xml:space="preserve">to be </w:t>
            </w:r>
            <w:r w:rsidR="00CB7AA7">
              <w:t>supported in alternative education.</w:t>
            </w:r>
          </w:p>
        </w:tc>
      </w:tr>
      <w:tr w:rsidR="003D665C" w:rsidTr="00096EB8">
        <w:trPr>
          <w:jc w:val="center"/>
        </w:trPr>
        <w:tc>
          <w:tcPr>
            <w:tcW w:w="1951" w:type="dxa"/>
          </w:tcPr>
          <w:p w:rsidR="003D665C" w:rsidRDefault="003D665C" w:rsidP="004A2B55">
            <w:pPr>
              <w:spacing w:before="60" w:after="60"/>
              <w:rPr>
                <w:rFonts w:cs="Arial"/>
              </w:rPr>
            </w:pPr>
            <w:r>
              <w:rPr>
                <w:rFonts w:cs="Arial"/>
              </w:rPr>
              <w:t>Mother is a sole parent</w:t>
            </w:r>
          </w:p>
        </w:tc>
        <w:tc>
          <w:tcPr>
            <w:tcW w:w="2126" w:type="dxa"/>
          </w:tcPr>
          <w:p w:rsidR="003D665C" w:rsidRPr="00154F84" w:rsidRDefault="003D665C" w:rsidP="004A2B55">
            <w:pPr>
              <w:spacing w:before="60" w:after="60"/>
              <w:rPr>
                <w:rFonts w:cs="Arial"/>
              </w:rPr>
            </w:pPr>
            <w:r w:rsidRPr="00154F84">
              <w:rPr>
                <w:rFonts w:cs="Arial"/>
              </w:rPr>
              <w:t xml:space="preserve">Direct collection? </w:t>
            </w:r>
          </w:p>
        </w:tc>
        <w:tc>
          <w:tcPr>
            <w:tcW w:w="2552" w:type="dxa"/>
          </w:tcPr>
          <w:p w:rsidR="003D665C" w:rsidRPr="00154F84" w:rsidRDefault="003D665C" w:rsidP="004A2B55">
            <w:pPr>
              <w:spacing w:before="60" w:after="60"/>
              <w:rPr>
                <w:rFonts w:cs="Arial"/>
              </w:rPr>
            </w:pPr>
            <w:r w:rsidRPr="00154F84">
              <w:rPr>
                <w:rFonts w:cs="Arial"/>
              </w:rPr>
              <w:t>Covers a third of NZ low-achievers (PISA data)</w:t>
            </w:r>
          </w:p>
        </w:tc>
        <w:tc>
          <w:tcPr>
            <w:tcW w:w="4042" w:type="dxa"/>
          </w:tcPr>
          <w:p w:rsidR="003D665C" w:rsidRDefault="003D665C" w:rsidP="004A2B55">
            <w:pPr>
              <w:spacing w:before="60" w:after="60"/>
              <w:rPr>
                <w:rFonts w:cs="Arial"/>
              </w:rPr>
            </w:pPr>
            <w:r>
              <w:rPr>
                <w:rFonts w:cs="Arial"/>
              </w:rPr>
              <w:t>May be controversial; arguably parental benefit dependence is a good proxy</w:t>
            </w:r>
          </w:p>
        </w:tc>
      </w:tr>
      <w:tr w:rsidR="003D665C" w:rsidTr="00096EB8">
        <w:trPr>
          <w:jc w:val="center"/>
        </w:trPr>
        <w:tc>
          <w:tcPr>
            <w:tcW w:w="1951" w:type="dxa"/>
          </w:tcPr>
          <w:p w:rsidR="003D665C" w:rsidRDefault="003D665C" w:rsidP="004A2B55">
            <w:pPr>
              <w:spacing w:before="60" w:after="60"/>
              <w:rPr>
                <w:rFonts w:cs="Arial"/>
              </w:rPr>
            </w:pPr>
            <w:r>
              <w:rPr>
                <w:rFonts w:cs="Arial"/>
              </w:rPr>
              <w:t>First child born in mother’s teens</w:t>
            </w:r>
          </w:p>
        </w:tc>
        <w:tc>
          <w:tcPr>
            <w:tcW w:w="2126" w:type="dxa"/>
          </w:tcPr>
          <w:p w:rsidR="003D665C" w:rsidRDefault="003D665C" w:rsidP="004A2B55">
            <w:pPr>
              <w:spacing w:before="60" w:after="60"/>
              <w:rPr>
                <w:rFonts w:cs="Arial"/>
              </w:rPr>
            </w:pPr>
            <w:r>
              <w:rPr>
                <w:rFonts w:cs="Arial"/>
              </w:rPr>
              <w:t>Direct collection? Birth records (DIA)?</w:t>
            </w:r>
          </w:p>
        </w:tc>
        <w:tc>
          <w:tcPr>
            <w:tcW w:w="2552" w:type="dxa"/>
          </w:tcPr>
          <w:p w:rsidR="003D665C" w:rsidRDefault="003D665C" w:rsidP="004A2B55">
            <w:pPr>
              <w:spacing w:before="60" w:after="60"/>
              <w:rPr>
                <w:rFonts w:cs="Arial"/>
              </w:rPr>
            </w:pPr>
            <w:r>
              <w:rPr>
                <w:rFonts w:cs="Arial"/>
              </w:rPr>
              <w:t>Likely to be at high</w:t>
            </w:r>
            <w:r w:rsidR="0061021C">
              <w:rPr>
                <w:rFonts w:cs="Arial"/>
              </w:rPr>
              <w:t>-</w:t>
            </w:r>
            <w:r>
              <w:rPr>
                <w:rFonts w:cs="Arial"/>
              </w:rPr>
              <w:t>risk of under-achievement</w:t>
            </w:r>
          </w:p>
        </w:tc>
        <w:tc>
          <w:tcPr>
            <w:tcW w:w="4042" w:type="dxa"/>
          </w:tcPr>
          <w:p w:rsidR="003D665C" w:rsidRDefault="003D665C" w:rsidP="004A2B55">
            <w:pPr>
              <w:spacing w:before="60" w:after="60"/>
              <w:rPr>
                <w:rFonts w:cs="Arial"/>
              </w:rPr>
            </w:pPr>
            <w:r>
              <w:rPr>
                <w:rFonts w:cs="Arial"/>
              </w:rPr>
              <w:t>Small group (who also have other risk factors)</w:t>
            </w:r>
          </w:p>
        </w:tc>
      </w:tr>
      <w:tr w:rsidR="003D665C" w:rsidTr="00096EB8">
        <w:trPr>
          <w:jc w:val="center"/>
        </w:trPr>
        <w:tc>
          <w:tcPr>
            <w:tcW w:w="1951" w:type="dxa"/>
          </w:tcPr>
          <w:p w:rsidR="003D665C" w:rsidRDefault="003D665C" w:rsidP="004A2B55">
            <w:pPr>
              <w:spacing w:before="60" w:after="60"/>
              <w:rPr>
                <w:rFonts w:cs="Arial"/>
              </w:rPr>
            </w:pPr>
            <w:r>
              <w:rPr>
                <w:rFonts w:cs="Arial"/>
              </w:rPr>
              <w:t>A</w:t>
            </w:r>
            <w:r w:rsidRPr="0021649E">
              <w:rPr>
                <w:rFonts w:cs="Arial"/>
              </w:rPr>
              <w:t xml:space="preserve">bnormal conduct </w:t>
            </w:r>
            <w:r>
              <w:rPr>
                <w:rFonts w:cs="Arial"/>
              </w:rPr>
              <w:t xml:space="preserve">reported </w:t>
            </w:r>
            <w:r w:rsidRPr="0021649E">
              <w:rPr>
                <w:rFonts w:cs="Arial"/>
              </w:rPr>
              <w:t>at B4 School Checks</w:t>
            </w:r>
          </w:p>
        </w:tc>
        <w:tc>
          <w:tcPr>
            <w:tcW w:w="2126" w:type="dxa"/>
          </w:tcPr>
          <w:p w:rsidR="003D665C" w:rsidRDefault="003D665C" w:rsidP="004A2B55">
            <w:pPr>
              <w:spacing w:before="60" w:after="60"/>
              <w:rPr>
                <w:rFonts w:cs="Arial"/>
              </w:rPr>
            </w:pPr>
            <w:r>
              <w:rPr>
                <w:rFonts w:cs="Arial"/>
              </w:rPr>
              <w:t>AISA with Ministry of Health</w:t>
            </w:r>
          </w:p>
        </w:tc>
        <w:tc>
          <w:tcPr>
            <w:tcW w:w="2552" w:type="dxa"/>
          </w:tcPr>
          <w:p w:rsidR="003D665C" w:rsidRDefault="003D665C" w:rsidP="004A2B55">
            <w:pPr>
              <w:spacing w:before="60" w:after="60"/>
              <w:rPr>
                <w:rFonts w:cs="Arial"/>
              </w:rPr>
            </w:pPr>
            <w:r>
              <w:rPr>
                <w:rFonts w:cs="Arial"/>
              </w:rPr>
              <w:t>May broaden coverage by picking up risks not detected via SES factors</w:t>
            </w:r>
          </w:p>
        </w:tc>
        <w:tc>
          <w:tcPr>
            <w:tcW w:w="4042" w:type="dxa"/>
          </w:tcPr>
          <w:p w:rsidR="003D665C" w:rsidRDefault="003D665C" w:rsidP="004A2B55">
            <w:pPr>
              <w:spacing w:before="60" w:after="60"/>
              <w:rPr>
                <w:rFonts w:cs="Arial"/>
              </w:rPr>
            </w:pPr>
            <w:r>
              <w:rPr>
                <w:rFonts w:cs="Arial"/>
              </w:rPr>
              <w:t>B4 School Checks have not been in place long enough to tell whether these findings are predictive of NCEA outcomes</w:t>
            </w:r>
          </w:p>
        </w:tc>
      </w:tr>
    </w:tbl>
    <w:p w:rsidR="007745F4" w:rsidRDefault="007745F4" w:rsidP="008A2385">
      <w:pPr>
        <w:pStyle w:val="MoEHeading2"/>
        <w:jc w:val="both"/>
        <w:rPr>
          <w:i/>
          <w:color w:val="0070C0"/>
        </w:rPr>
      </w:pPr>
      <w:r w:rsidRPr="008A2385">
        <w:rPr>
          <w:i/>
          <w:color w:val="0070C0"/>
        </w:rPr>
        <w:t xml:space="preserve">Data </w:t>
      </w:r>
      <w:r w:rsidRPr="006735D7">
        <w:rPr>
          <w:i/>
          <w:color w:val="2A6EBB"/>
        </w:rPr>
        <w:t>Sources</w:t>
      </w:r>
    </w:p>
    <w:p w:rsidR="008A2385" w:rsidRDefault="008A2385" w:rsidP="008A2385">
      <w:pPr>
        <w:jc w:val="both"/>
        <w:rPr>
          <w:rFonts w:cs="Arial"/>
        </w:rPr>
      </w:pPr>
    </w:p>
    <w:p w:rsidR="00611421" w:rsidRDefault="00611421" w:rsidP="008A2385">
      <w:pPr>
        <w:jc w:val="both"/>
        <w:rPr>
          <w:rFonts w:cs="Arial"/>
        </w:rPr>
      </w:pPr>
      <w:r w:rsidRPr="00852CE5">
        <w:rPr>
          <w:rFonts w:cs="Arial"/>
        </w:rPr>
        <w:t xml:space="preserve">There are two </w:t>
      </w:r>
      <w:r w:rsidR="00AC0EEF" w:rsidRPr="00852CE5">
        <w:rPr>
          <w:rFonts w:cs="Arial"/>
        </w:rPr>
        <w:t xml:space="preserve">main </w:t>
      </w:r>
      <w:r w:rsidRPr="00852CE5">
        <w:rPr>
          <w:rFonts w:cs="Arial"/>
        </w:rPr>
        <w:t>mechanis</w:t>
      </w:r>
      <w:r w:rsidR="00AC0EEF" w:rsidRPr="00852CE5">
        <w:rPr>
          <w:rFonts w:cs="Arial"/>
        </w:rPr>
        <w:t>ms that c</w:t>
      </w:r>
      <w:r w:rsidRPr="00852CE5">
        <w:rPr>
          <w:rFonts w:cs="Arial"/>
        </w:rPr>
        <w:t xml:space="preserve">ould be used to collect data </w:t>
      </w:r>
      <w:r w:rsidR="00AC0EEF" w:rsidRPr="00852CE5">
        <w:rPr>
          <w:rFonts w:cs="Arial"/>
        </w:rPr>
        <w:t>not already held by the education system</w:t>
      </w:r>
      <w:r w:rsidRPr="00852CE5">
        <w:rPr>
          <w:rFonts w:cs="Arial"/>
        </w:rPr>
        <w:t xml:space="preserve">: existing administrative data </w:t>
      </w:r>
      <w:r w:rsidR="00542C70" w:rsidRPr="00852CE5">
        <w:rPr>
          <w:rFonts w:cs="Arial"/>
        </w:rPr>
        <w:t xml:space="preserve">and </w:t>
      </w:r>
      <w:r w:rsidRPr="00852CE5">
        <w:rPr>
          <w:rFonts w:cs="Arial"/>
        </w:rPr>
        <w:t>collecting information directly from families.</w:t>
      </w:r>
    </w:p>
    <w:p w:rsidR="00CD1D94" w:rsidRPr="00852CE5" w:rsidRDefault="00CD1D94" w:rsidP="008A2385">
      <w:pPr>
        <w:jc w:val="both"/>
        <w:rPr>
          <w:rFonts w:cs="Arial"/>
        </w:rPr>
      </w:pPr>
    </w:p>
    <w:p w:rsidR="00066CD4" w:rsidRDefault="002C24E3" w:rsidP="008A2385">
      <w:pPr>
        <w:jc w:val="both"/>
        <w:rPr>
          <w:rFonts w:cs="Arial"/>
        </w:rPr>
      </w:pPr>
      <w:r w:rsidRPr="00852CE5">
        <w:rPr>
          <w:rFonts w:cs="Arial"/>
        </w:rPr>
        <w:t xml:space="preserve">Accessing administrative data for funding (rather than research purposes) would require approved information sharing agreements (AISAs) with the </w:t>
      </w:r>
      <w:r w:rsidR="00B85C7C" w:rsidRPr="00852CE5">
        <w:rPr>
          <w:rFonts w:cs="Arial"/>
        </w:rPr>
        <w:t>appropriate government agencies,</w:t>
      </w:r>
      <w:r w:rsidRPr="00852CE5">
        <w:rPr>
          <w:rFonts w:cs="Arial"/>
        </w:rPr>
        <w:t xml:space="preserve"> and processes to manage privacy of information.</w:t>
      </w:r>
    </w:p>
    <w:p w:rsidR="00066CD4" w:rsidRDefault="00066CD4" w:rsidP="008A2385">
      <w:pPr>
        <w:jc w:val="both"/>
        <w:rPr>
          <w:rFonts w:cs="Arial"/>
        </w:rPr>
      </w:pPr>
    </w:p>
    <w:p w:rsidR="002C24E3" w:rsidRDefault="002C24E3" w:rsidP="008A2385">
      <w:pPr>
        <w:jc w:val="both"/>
        <w:rPr>
          <w:rFonts w:cs="Arial"/>
        </w:rPr>
      </w:pPr>
      <w:r w:rsidRPr="00852CE5">
        <w:rPr>
          <w:rFonts w:cs="Arial"/>
        </w:rPr>
        <w:t xml:space="preserve"> Work </w:t>
      </w:r>
      <w:r w:rsidR="00CB7AA7" w:rsidRPr="00852CE5">
        <w:rPr>
          <w:rFonts w:cs="Arial"/>
        </w:rPr>
        <w:t>to date</w:t>
      </w:r>
      <w:r w:rsidRPr="00852CE5">
        <w:rPr>
          <w:rFonts w:cs="Arial"/>
        </w:rPr>
        <w:t xml:space="preserve"> on the extent </w:t>
      </w:r>
      <w:r w:rsidR="0061021C">
        <w:rPr>
          <w:rFonts w:cs="Arial"/>
        </w:rPr>
        <w:t>that</w:t>
      </w:r>
      <w:r w:rsidRPr="00852CE5">
        <w:rPr>
          <w:rFonts w:cs="Arial"/>
        </w:rPr>
        <w:t xml:space="preserve"> information matching processes </w:t>
      </w:r>
      <w:r w:rsidR="00CB7AA7" w:rsidRPr="00852CE5">
        <w:rPr>
          <w:rFonts w:cs="Arial"/>
        </w:rPr>
        <w:t>are</w:t>
      </w:r>
      <w:r w:rsidR="00D15D9D" w:rsidRPr="00852CE5">
        <w:rPr>
          <w:rFonts w:cs="Arial"/>
        </w:rPr>
        <w:t xml:space="preserve"> able to </w:t>
      </w:r>
      <w:r w:rsidRPr="00852CE5">
        <w:rPr>
          <w:rFonts w:cs="Arial"/>
        </w:rPr>
        <w:t xml:space="preserve">identify all children who </w:t>
      </w:r>
      <w:r w:rsidR="00870F6E">
        <w:rPr>
          <w:rFonts w:cs="Arial"/>
        </w:rPr>
        <w:t>meet</w:t>
      </w:r>
      <w:r w:rsidRPr="00852CE5">
        <w:rPr>
          <w:rFonts w:cs="Arial"/>
        </w:rPr>
        <w:t xml:space="preserve"> the eligibility criteria</w:t>
      </w:r>
      <w:r w:rsidR="00CB7AA7" w:rsidRPr="00852CE5">
        <w:rPr>
          <w:rFonts w:cs="Arial"/>
        </w:rPr>
        <w:t xml:space="preserve"> indicates that this process is imperfect. Nonetheless, it allows for better precision than Census meshblocks</w:t>
      </w:r>
      <w:r w:rsidRPr="00852CE5">
        <w:rPr>
          <w:rFonts w:cs="Arial"/>
        </w:rPr>
        <w:t xml:space="preserve">. </w:t>
      </w:r>
    </w:p>
    <w:p w:rsidR="00CD1D94" w:rsidRPr="00852CE5" w:rsidRDefault="00CD1D94" w:rsidP="008A2385">
      <w:pPr>
        <w:jc w:val="both"/>
        <w:rPr>
          <w:rFonts w:cs="Arial"/>
        </w:rPr>
      </w:pPr>
    </w:p>
    <w:p w:rsidR="00066CD4" w:rsidRDefault="00542C70" w:rsidP="008A2385">
      <w:pPr>
        <w:jc w:val="both"/>
        <w:rPr>
          <w:rFonts w:cs="Arial"/>
        </w:rPr>
      </w:pPr>
      <w:r w:rsidRPr="00852CE5">
        <w:rPr>
          <w:rFonts w:cs="Arial"/>
        </w:rPr>
        <w:t>D</w:t>
      </w:r>
      <w:r w:rsidR="002C24E3" w:rsidRPr="00852CE5">
        <w:rPr>
          <w:rFonts w:cs="Arial"/>
        </w:rPr>
        <w:t xml:space="preserve">irect collection of information </w:t>
      </w:r>
      <w:r w:rsidR="00D15D9D" w:rsidRPr="00852CE5">
        <w:rPr>
          <w:rFonts w:cs="Arial"/>
        </w:rPr>
        <w:t>by</w:t>
      </w:r>
      <w:r w:rsidR="002C24E3" w:rsidRPr="00852CE5">
        <w:rPr>
          <w:rFonts w:cs="Arial"/>
        </w:rPr>
        <w:t xml:space="preserve"> ECE services and schools </w:t>
      </w:r>
      <w:r w:rsidR="00D15D9D" w:rsidRPr="00852CE5">
        <w:rPr>
          <w:rFonts w:cs="Arial"/>
        </w:rPr>
        <w:t xml:space="preserve">via enrolment forms </w:t>
      </w:r>
      <w:r w:rsidR="002C24E3" w:rsidRPr="00852CE5">
        <w:rPr>
          <w:rFonts w:cs="Arial"/>
        </w:rPr>
        <w:t xml:space="preserve">would involve some additional work for services and schools, and it would be important to build community acceptance of the need to gather it. </w:t>
      </w:r>
    </w:p>
    <w:p w:rsidR="00066CD4" w:rsidRDefault="00066CD4" w:rsidP="008A2385">
      <w:pPr>
        <w:jc w:val="both"/>
        <w:rPr>
          <w:rFonts w:cs="Arial"/>
        </w:rPr>
      </w:pPr>
    </w:p>
    <w:p w:rsidR="00D15D9D" w:rsidRDefault="00D15D9D" w:rsidP="008A2385">
      <w:pPr>
        <w:jc w:val="both"/>
        <w:rPr>
          <w:rFonts w:cs="Arial"/>
        </w:rPr>
      </w:pPr>
      <w:r w:rsidRPr="00852CE5">
        <w:rPr>
          <w:rFonts w:cs="Arial"/>
        </w:rPr>
        <w:t>There is a case that without a more traditional measure of socioeconomic status</w:t>
      </w:r>
      <w:r w:rsidR="00542C70" w:rsidRPr="00852CE5">
        <w:rPr>
          <w:rFonts w:cs="Arial"/>
        </w:rPr>
        <w:t>, which would be likely to require direct collection</w:t>
      </w:r>
      <w:r w:rsidR="0061021C">
        <w:rPr>
          <w:rFonts w:cs="Arial"/>
        </w:rPr>
        <w:t>, the at</w:t>
      </w:r>
      <w:r w:rsidR="00C87412">
        <w:rPr>
          <w:rFonts w:cs="Arial"/>
        </w:rPr>
        <w:t xml:space="preserve"> </w:t>
      </w:r>
      <w:r w:rsidR="0061021C">
        <w:rPr>
          <w:rFonts w:cs="Arial"/>
        </w:rPr>
        <w:t>risk</w:t>
      </w:r>
      <w:r w:rsidRPr="00852CE5">
        <w:rPr>
          <w:rFonts w:cs="Arial"/>
        </w:rPr>
        <w:t xml:space="preserve"> population would be too skewed towards families receiving government interventions or support.</w:t>
      </w:r>
    </w:p>
    <w:p w:rsidR="00CD1D94" w:rsidRPr="00852CE5" w:rsidRDefault="00CD1D94" w:rsidP="008A2385">
      <w:pPr>
        <w:jc w:val="both"/>
        <w:rPr>
          <w:rFonts w:cs="Arial"/>
        </w:rPr>
      </w:pPr>
    </w:p>
    <w:p w:rsidR="00A402BA" w:rsidRDefault="002C24E3" w:rsidP="008A2385">
      <w:pPr>
        <w:jc w:val="both"/>
        <w:rPr>
          <w:rFonts w:cs="Arial"/>
        </w:rPr>
      </w:pPr>
      <w:r w:rsidRPr="00852CE5">
        <w:rPr>
          <w:rFonts w:cs="Arial"/>
        </w:rPr>
        <w:t xml:space="preserve">Direct collection also involves risks in terms of the accuracy of the information collected, </w:t>
      </w:r>
      <w:r w:rsidR="00F378FD" w:rsidRPr="00852CE5">
        <w:rPr>
          <w:rFonts w:cs="Arial"/>
        </w:rPr>
        <w:t>and may need to be supported by some form of auditing of information</w:t>
      </w:r>
      <w:r w:rsidRPr="00852CE5">
        <w:rPr>
          <w:rFonts w:cs="Arial"/>
        </w:rPr>
        <w:t>.</w:t>
      </w:r>
      <w:r w:rsidR="00D15D9D" w:rsidRPr="00852CE5">
        <w:rPr>
          <w:rFonts w:cs="Arial"/>
        </w:rPr>
        <w:t xml:space="preserve"> </w:t>
      </w:r>
      <w:r w:rsidR="00211870" w:rsidRPr="008468E7">
        <w:t>Some</w:t>
      </w:r>
      <w:r w:rsidR="00211870" w:rsidRPr="00852CE5">
        <w:rPr>
          <w:rFonts w:cs="Arial"/>
        </w:rPr>
        <w:t xml:space="preserve"> Australian states direct</w:t>
      </w:r>
      <w:r w:rsidR="00FE4908" w:rsidRPr="00852CE5">
        <w:rPr>
          <w:rFonts w:cs="Arial"/>
        </w:rPr>
        <w:t>ly</w:t>
      </w:r>
      <w:r w:rsidR="007745F4" w:rsidRPr="00852CE5">
        <w:rPr>
          <w:rFonts w:cs="Arial"/>
        </w:rPr>
        <w:t xml:space="preserve"> collect</w:t>
      </w:r>
      <w:r w:rsidR="00211870" w:rsidRPr="00852CE5">
        <w:rPr>
          <w:rFonts w:cs="Arial"/>
        </w:rPr>
        <w:t xml:space="preserve"> information on parental educational qualifications and occupation</w:t>
      </w:r>
      <w:r w:rsidR="00F378FD" w:rsidRPr="00852CE5">
        <w:rPr>
          <w:rFonts w:cs="Arial"/>
        </w:rPr>
        <w:t xml:space="preserve"> for funding purposes</w:t>
      </w:r>
      <w:r w:rsidR="00211870" w:rsidRPr="00852CE5">
        <w:rPr>
          <w:rFonts w:cs="Arial"/>
        </w:rPr>
        <w:t xml:space="preserve">. </w:t>
      </w:r>
      <w:r w:rsidR="00F378FD" w:rsidRPr="00852CE5">
        <w:rPr>
          <w:rFonts w:cs="Arial"/>
        </w:rPr>
        <w:t>Where direct collection is used</w:t>
      </w:r>
      <w:r w:rsidR="00C87412">
        <w:rPr>
          <w:rFonts w:cs="Arial"/>
        </w:rPr>
        <w:t>,</w:t>
      </w:r>
      <w:r w:rsidR="00F378FD" w:rsidRPr="00852CE5">
        <w:rPr>
          <w:rFonts w:cs="Arial"/>
        </w:rPr>
        <w:t xml:space="preserve"> countries generally restrict the number of indicators </w:t>
      </w:r>
      <w:r w:rsidR="0061021C">
        <w:rPr>
          <w:rFonts w:cs="Arial"/>
        </w:rPr>
        <w:t>for</w:t>
      </w:r>
      <w:r w:rsidR="00F378FD" w:rsidRPr="00852CE5">
        <w:rPr>
          <w:rFonts w:cs="Arial"/>
        </w:rPr>
        <w:t xml:space="preserve"> which information is collected, as is the case in Australia.</w:t>
      </w:r>
      <w:r w:rsidR="00211870" w:rsidRPr="00852CE5">
        <w:rPr>
          <w:rFonts w:cs="Arial"/>
        </w:rPr>
        <w:t xml:space="preserve"> </w:t>
      </w:r>
    </w:p>
    <w:p w:rsidR="00CD1D94" w:rsidRPr="00852CE5" w:rsidRDefault="00CD1D94" w:rsidP="008A2385">
      <w:pPr>
        <w:jc w:val="both"/>
        <w:rPr>
          <w:rFonts w:cs="Arial"/>
        </w:rPr>
      </w:pPr>
    </w:p>
    <w:p w:rsidR="00A402BA" w:rsidRDefault="00CD1D94" w:rsidP="008A2385">
      <w:pPr>
        <w:pBdr>
          <w:top w:val="single" w:sz="4" w:space="1" w:color="auto"/>
          <w:left w:val="single" w:sz="4" w:space="4" w:color="auto"/>
          <w:bottom w:val="single" w:sz="4" w:space="1" w:color="auto"/>
          <w:right w:val="single" w:sz="4" w:space="0" w:color="auto"/>
        </w:pBdr>
        <w:ind w:left="357" w:right="510"/>
        <w:jc w:val="both"/>
        <w:rPr>
          <w:rFonts w:cs="Arial"/>
          <w:i/>
        </w:rPr>
      </w:pPr>
      <w:r>
        <w:rPr>
          <w:rFonts w:cs="Arial"/>
          <w:i/>
        </w:rPr>
        <w:t>Question for discussion</w:t>
      </w:r>
    </w:p>
    <w:p w:rsidR="00CD1D94" w:rsidRPr="00852CE5" w:rsidRDefault="00CD1D94" w:rsidP="008A2385">
      <w:pPr>
        <w:pBdr>
          <w:top w:val="single" w:sz="4" w:space="1" w:color="auto"/>
          <w:left w:val="single" w:sz="4" w:space="4" w:color="auto"/>
          <w:bottom w:val="single" w:sz="4" w:space="1" w:color="auto"/>
          <w:right w:val="single" w:sz="4" w:space="0" w:color="auto"/>
        </w:pBdr>
        <w:ind w:left="357" w:right="510"/>
        <w:jc w:val="both"/>
        <w:rPr>
          <w:rFonts w:cs="Arial"/>
          <w:i/>
        </w:rPr>
      </w:pPr>
    </w:p>
    <w:p w:rsidR="00852CE5" w:rsidRPr="00852CE5" w:rsidRDefault="006F4591" w:rsidP="008A2385">
      <w:pPr>
        <w:pBdr>
          <w:top w:val="single" w:sz="4" w:space="1" w:color="auto"/>
          <w:left w:val="single" w:sz="4" w:space="4" w:color="auto"/>
          <w:bottom w:val="single" w:sz="4" w:space="1" w:color="auto"/>
          <w:right w:val="single" w:sz="4" w:space="0" w:color="auto"/>
        </w:pBdr>
        <w:ind w:left="357" w:right="510"/>
        <w:jc w:val="both"/>
        <w:rPr>
          <w:rFonts w:cs="Arial"/>
          <w:i/>
        </w:rPr>
      </w:pPr>
      <w:r w:rsidRPr="00852CE5">
        <w:rPr>
          <w:rFonts w:cs="Arial"/>
          <w:i/>
        </w:rPr>
        <w:t>Do you have a view about which means of collecting data are more or less desirable</w:t>
      </w:r>
      <w:r w:rsidR="00A402BA" w:rsidRPr="00852CE5">
        <w:rPr>
          <w:rFonts w:cs="Arial"/>
          <w:i/>
        </w:rPr>
        <w:t>?</w:t>
      </w:r>
      <w:r w:rsidRPr="00852CE5">
        <w:rPr>
          <w:rFonts w:cs="Arial"/>
          <w:i/>
        </w:rPr>
        <w:t xml:space="preserve"> In particular, what is your view </w:t>
      </w:r>
      <w:r w:rsidR="00D15D9D" w:rsidRPr="00852CE5">
        <w:rPr>
          <w:rFonts w:cs="Arial"/>
          <w:i/>
        </w:rPr>
        <w:t>of</w:t>
      </w:r>
      <w:r w:rsidRPr="00852CE5">
        <w:rPr>
          <w:rFonts w:cs="Arial"/>
          <w:i/>
        </w:rPr>
        <w:t xml:space="preserve"> directly collecting additional </w:t>
      </w:r>
      <w:r w:rsidR="00EC1392" w:rsidRPr="00852CE5">
        <w:rPr>
          <w:rFonts w:cs="Arial"/>
          <w:i/>
        </w:rPr>
        <w:t>information</w:t>
      </w:r>
      <w:r w:rsidRPr="00852CE5">
        <w:rPr>
          <w:rFonts w:cs="Arial"/>
          <w:i/>
        </w:rPr>
        <w:t xml:space="preserve"> via enrolment forms?</w:t>
      </w:r>
    </w:p>
    <w:p w:rsidR="009E46E3" w:rsidRDefault="009E46E3" w:rsidP="00CD1D94">
      <w:pPr>
        <w:pStyle w:val="ListParagraph"/>
        <w:ind w:left="357"/>
        <w:jc w:val="both"/>
        <w:rPr>
          <w:rFonts w:cs="Arial"/>
        </w:rPr>
      </w:pPr>
    </w:p>
    <w:p w:rsidR="00F642B7" w:rsidRPr="0033060F" w:rsidRDefault="00F642B7" w:rsidP="0033060F">
      <w:pPr>
        <w:pStyle w:val="MoEHeading1"/>
      </w:pPr>
      <w:bookmarkStart w:id="21" w:name="_Toc446404700"/>
      <w:bookmarkStart w:id="22" w:name="_Toc451770536"/>
      <w:r w:rsidRPr="0033060F">
        <w:t>Frequency of adjustment</w:t>
      </w:r>
    </w:p>
    <w:p w:rsidR="00852CE5" w:rsidRDefault="00852CE5" w:rsidP="00CD1D94">
      <w:pPr>
        <w:jc w:val="both"/>
      </w:pPr>
    </w:p>
    <w:p w:rsidR="00066CD4" w:rsidRDefault="00B058C2" w:rsidP="00CD1D94">
      <w:pPr>
        <w:jc w:val="both"/>
      </w:pPr>
      <w:r>
        <w:t>An issue that will need to be addressed in the detail</w:t>
      </w:r>
      <w:r w:rsidR="00670A06">
        <w:t>ed</w:t>
      </w:r>
      <w:r>
        <w:t xml:space="preserve"> design is the frequency of changes in funding, particularly as children shift between schools. </w:t>
      </w:r>
      <w:r w:rsidR="00F642B7">
        <w:t>There are likely to be practical limitations on the speed of adjustment</w:t>
      </w:r>
      <w:r>
        <w:t xml:space="preserve"> depending on the indicators chosen and how data is collected</w:t>
      </w:r>
      <w:r w:rsidR="00FE4908">
        <w:t>.</w:t>
      </w:r>
      <w:r>
        <w:t xml:space="preserve"> </w:t>
      </w:r>
    </w:p>
    <w:p w:rsidR="00066CD4" w:rsidRDefault="00066CD4" w:rsidP="00CD1D94">
      <w:pPr>
        <w:jc w:val="both"/>
      </w:pPr>
    </w:p>
    <w:p w:rsidR="00F642B7" w:rsidRDefault="00F642B7" w:rsidP="00CD1D94">
      <w:pPr>
        <w:jc w:val="both"/>
      </w:pPr>
      <w:r>
        <w:t xml:space="preserve">There will also be judgments to be made about balancing stability of funding with incentives to be responsive, and balancing the interests of the service or school from </w:t>
      </w:r>
      <w:r w:rsidR="0061021C">
        <w:t>which a child or young person</w:t>
      </w:r>
      <w:r>
        <w:t xml:space="preserve"> is departing with those of the service or school receiving th</w:t>
      </w:r>
      <w:r w:rsidR="0061021C">
        <w:t>at</w:t>
      </w:r>
      <w:r>
        <w:t xml:space="preserve"> </w:t>
      </w:r>
      <w:r w:rsidR="0061021C">
        <w:t>child or young person</w:t>
      </w:r>
      <w:r>
        <w:t>.</w:t>
      </w:r>
    </w:p>
    <w:p w:rsidR="00CD1D94" w:rsidRDefault="00CD1D94" w:rsidP="00CD1D94">
      <w:pPr>
        <w:jc w:val="both"/>
      </w:pPr>
    </w:p>
    <w:p w:rsidR="00F642B7" w:rsidRDefault="00F642B7" w:rsidP="00CD1D94">
      <w:pPr>
        <w:jc w:val="both"/>
      </w:pPr>
      <w:r>
        <w:t xml:space="preserve">It is worth noting that, for both ECE and schooling, the larger non-targeted portion of funding fluctuates with enrolments in any case. ECE services are, however, much more subject to funding fluctuations within a year than schools, and it may also be appropriate to have differing approaches to the </w:t>
      </w:r>
      <w:r w:rsidR="0061021C">
        <w:t>frequency of adjustment of the at</w:t>
      </w:r>
      <w:r w:rsidR="00C87412">
        <w:t xml:space="preserve"> </w:t>
      </w:r>
      <w:r w:rsidR="0061021C">
        <w:t>risk</w:t>
      </w:r>
      <w:r>
        <w:t xml:space="preserve"> </w:t>
      </w:r>
      <w:r w:rsidR="0061021C">
        <w:t>funding</w:t>
      </w:r>
      <w:r>
        <w:t>.</w:t>
      </w:r>
    </w:p>
    <w:p w:rsidR="0061021C" w:rsidRDefault="0061021C" w:rsidP="00CD1D94">
      <w:pPr>
        <w:jc w:val="both"/>
      </w:pPr>
    </w:p>
    <w:p w:rsidR="00F642B7" w:rsidRDefault="00CD1D94" w:rsidP="00CD1D94">
      <w:pPr>
        <w:pBdr>
          <w:top w:val="single" w:sz="4" w:space="1" w:color="auto"/>
          <w:left w:val="single" w:sz="4" w:space="4" w:color="auto"/>
          <w:bottom w:val="single" w:sz="4" w:space="1" w:color="auto"/>
          <w:right w:val="single" w:sz="4" w:space="0" w:color="auto"/>
        </w:pBdr>
        <w:ind w:left="357" w:right="510"/>
        <w:jc w:val="both"/>
        <w:rPr>
          <w:rFonts w:cs="Arial"/>
          <w:i/>
        </w:rPr>
      </w:pPr>
      <w:r>
        <w:rPr>
          <w:rFonts w:cs="Arial"/>
          <w:i/>
        </w:rPr>
        <w:t>Question for discussion</w:t>
      </w:r>
    </w:p>
    <w:p w:rsidR="00CD1D94" w:rsidRPr="00852CE5" w:rsidRDefault="00CD1D94" w:rsidP="00CD1D94">
      <w:pPr>
        <w:pBdr>
          <w:top w:val="single" w:sz="4" w:space="1" w:color="auto"/>
          <w:left w:val="single" w:sz="4" w:space="4" w:color="auto"/>
          <w:bottom w:val="single" w:sz="4" w:space="1" w:color="auto"/>
          <w:right w:val="single" w:sz="4" w:space="0" w:color="auto"/>
        </w:pBdr>
        <w:ind w:left="357" w:right="510"/>
        <w:jc w:val="both"/>
        <w:rPr>
          <w:rFonts w:cs="Arial"/>
          <w:i/>
        </w:rPr>
      </w:pPr>
    </w:p>
    <w:p w:rsidR="00F642B7" w:rsidRPr="00852CE5" w:rsidRDefault="00F642B7" w:rsidP="00CD1D94">
      <w:pPr>
        <w:pBdr>
          <w:top w:val="single" w:sz="4" w:space="1" w:color="auto"/>
          <w:left w:val="single" w:sz="4" w:space="4" w:color="auto"/>
          <w:bottom w:val="single" w:sz="4" w:space="1" w:color="auto"/>
          <w:right w:val="single" w:sz="4" w:space="0" w:color="auto"/>
        </w:pBdr>
        <w:ind w:left="357" w:right="510"/>
        <w:jc w:val="both"/>
        <w:rPr>
          <w:rFonts w:cs="Arial"/>
          <w:i/>
        </w:rPr>
      </w:pPr>
      <w:r w:rsidRPr="00852CE5">
        <w:rPr>
          <w:rFonts w:cs="Arial"/>
          <w:i/>
        </w:rPr>
        <w:t>How quickly</w:t>
      </w:r>
      <w:r w:rsidR="005674FE">
        <w:rPr>
          <w:rFonts w:cs="Arial"/>
          <w:i/>
        </w:rPr>
        <w:t xml:space="preserve"> should</w:t>
      </w:r>
      <w:r w:rsidRPr="00852CE5">
        <w:rPr>
          <w:rFonts w:cs="Arial"/>
          <w:i/>
        </w:rPr>
        <w:t xml:space="preserve"> the additional </w:t>
      </w:r>
      <w:r w:rsidR="0061021C">
        <w:rPr>
          <w:rFonts w:cs="Arial"/>
          <w:i/>
        </w:rPr>
        <w:t>funding be adjusted when an at-risk</w:t>
      </w:r>
      <w:r w:rsidRPr="00852CE5">
        <w:rPr>
          <w:rFonts w:cs="Arial"/>
          <w:i/>
        </w:rPr>
        <w:t xml:space="preserve"> child or young person changes their place of enr</w:t>
      </w:r>
      <w:r w:rsidR="0061021C">
        <w:rPr>
          <w:rFonts w:cs="Arial"/>
          <w:i/>
        </w:rPr>
        <w:t>olment? And how much should an at-risk</w:t>
      </w:r>
      <w:r w:rsidRPr="00852CE5">
        <w:rPr>
          <w:rFonts w:cs="Arial"/>
          <w:i/>
        </w:rPr>
        <w:t xml:space="preserve"> status fluctuate over time?</w:t>
      </w:r>
    </w:p>
    <w:p w:rsidR="00F642B7" w:rsidRDefault="00F642B7" w:rsidP="00CD1D94">
      <w:pPr>
        <w:jc w:val="both"/>
        <w:rPr>
          <w:rFonts w:cs="Arial"/>
        </w:rPr>
      </w:pPr>
    </w:p>
    <w:p w:rsidR="00D116EB" w:rsidRPr="0033060F" w:rsidRDefault="00EC1392" w:rsidP="0033060F">
      <w:pPr>
        <w:pStyle w:val="MoEHeading1"/>
      </w:pPr>
      <w:r w:rsidRPr="0033060F">
        <w:t>Weighting for concentration</w:t>
      </w:r>
      <w:bookmarkEnd w:id="21"/>
      <w:r w:rsidR="007774D6" w:rsidRPr="0033060F">
        <w:t xml:space="preserve"> of risk</w:t>
      </w:r>
      <w:bookmarkEnd w:id="22"/>
    </w:p>
    <w:p w:rsidR="00852CE5" w:rsidRDefault="00852CE5" w:rsidP="00CD1D94">
      <w:pPr>
        <w:jc w:val="both"/>
        <w:rPr>
          <w:rFonts w:cs="Arial"/>
        </w:rPr>
      </w:pPr>
      <w:bookmarkStart w:id="23" w:name="_Ref449572178"/>
    </w:p>
    <w:p w:rsidR="00762C7B" w:rsidRDefault="00EC1392" w:rsidP="00CD1D94">
      <w:pPr>
        <w:jc w:val="both"/>
        <w:rPr>
          <w:rFonts w:cs="Arial"/>
        </w:rPr>
      </w:pPr>
      <w:r w:rsidRPr="00852CE5">
        <w:rPr>
          <w:rFonts w:cs="Arial"/>
        </w:rPr>
        <w:t>I</w:t>
      </w:r>
      <w:r w:rsidR="007F61A0" w:rsidRPr="00852CE5">
        <w:rPr>
          <w:rFonts w:cs="Arial"/>
        </w:rPr>
        <w:t>t</w:t>
      </w:r>
      <w:r w:rsidR="00A21E40" w:rsidRPr="00852CE5">
        <w:rPr>
          <w:rFonts w:cs="Arial"/>
        </w:rPr>
        <w:t xml:space="preserve"> </w:t>
      </w:r>
      <w:r w:rsidR="007F61A0" w:rsidRPr="00852CE5">
        <w:rPr>
          <w:rFonts w:cs="Arial"/>
        </w:rPr>
        <w:t xml:space="preserve">is </w:t>
      </w:r>
      <w:r w:rsidRPr="00852CE5">
        <w:rPr>
          <w:rFonts w:cs="Arial"/>
        </w:rPr>
        <w:t>proposed</w:t>
      </w:r>
      <w:r w:rsidR="00A21E40" w:rsidRPr="00852CE5">
        <w:rPr>
          <w:rFonts w:cs="Arial"/>
        </w:rPr>
        <w:t xml:space="preserve"> that the additional </w:t>
      </w:r>
      <w:r w:rsidR="001A21CB">
        <w:rPr>
          <w:rFonts w:cs="Arial"/>
        </w:rPr>
        <w:t>funding</w:t>
      </w:r>
      <w:r w:rsidR="00A21E40" w:rsidRPr="00852CE5">
        <w:rPr>
          <w:rFonts w:cs="Arial"/>
        </w:rPr>
        <w:t xml:space="preserve"> should provide some weighting for the concentration </w:t>
      </w:r>
      <w:r w:rsidR="004D1423" w:rsidRPr="00852CE5">
        <w:rPr>
          <w:rFonts w:cs="Arial"/>
        </w:rPr>
        <w:t xml:space="preserve">within an individual service or school </w:t>
      </w:r>
      <w:r w:rsidR="00A21E40" w:rsidRPr="00852CE5">
        <w:rPr>
          <w:rFonts w:cs="Arial"/>
        </w:rPr>
        <w:t xml:space="preserve">of children </w:t>
      </w:r>
      <w:r w:rsidR="007774D6" w:rsidRPr="00852CE5">
        <w:rPr>
          <w:rFonts w:cs="Arial"/>
        </w:rPr>
        <w:t xml:space="preserve">and young people </w:t>
      </w:r>
      <w:r w:rsidR="001A21CB">
        <w:rPr>
          <w:rFonts w:cs="Arial"/>
        </w:rPr>
        <w:t xml:space="preserve">who meet the </w:t>
      </w:r>
      <w:r w:rsidR="00C87412">
        <w:rPr>
          <w:rFonts w:cs="Arial"/>
        </w:rPr>
        <w:t xml:space="preserve">at </w:t>
      </w:r>
      <w:r w:rsidR="004D1423" w:rsidRPr="00852CE5">
        <w:rPr>
          <w:rFonts w:cs="Arial"/>
        </w:rPr>
        <w:t xml:space="preserve">risk </w:t>
      </w:r>
      <w:r w:rsidR="001A21CB">
        <w:rPr>
          <w:rFonts w:cs="Arial"/>
        </w:rPr>
        <w:t>criteria</w:t>
      </w:r>
      <w:r w:rsidR="00A21E40" w:rsidRPr="00852CE5">
        <w:rPr>
          <w:rFonts w:cs="Arial"/>
        </w:rPr>
        <w:t>.</w:t>
      </w:r>
      <w:bookmarkEnd w:id="23"/>
      <w:r w:rsidR="00A21E40" w:rsidRPr="00852CE5">
        <w:rPr>
          <w:rFonts w:cs="Arial"/>
        </w:rPr>
        <w:t xml:space="preserve"> International evidence suggests that the s</w:t>
      </w:r>
      <w:r w:rsidR="00D15D9D" w:rsidRPr="00852CE5">
        <w:rPr>
          <w:rFonts w:cs="Arial"/>
        </w:rPr>
        <w:t>ocio</w:t>
      </w:r>
      <w:r w:rsidR="0089612C" w:rsidRPr="00852CE5">
        <w:rPr>
          <w:rFonts w:cs="Arial"/>
        </w:rPr>
        <w:t>economic status of a child or young person</w:t>
      </w:r>
      <w:r w:rsidR="00A21E40" w:rsidRPr="00852CE5">
        <w:rPr>
          <w:rFonts w:cs="Arial"/>
        </w:rPr>
        <w:t xml:space="preserve">’s peer environment has an influence on </w:t>
      </w:r>
      <w:r w:rsidR="001A1F7E">
        <w:rPr>
          <w:rFonts w:cs="Arial"/>
        </w:rPr>
        <w:t>their</w:t>
      </w:r>
      <w:r w:rsidR="00A21E40" w:rsidRPr="00852CE5">
        <w:rPr>
          <w:rFonts w:cs="Arial"/>
        </w:rPr>
        <w:t xml:space="preserve"> ac</w:t>
      </w:r>
      <w:r w:rsidR="00D15D9D" w:rsidRPr="00852CE5">
        <w:rPr>
          <w:rFonts w:cs="Arial"/>
        </w:rPr>
        <w:t>hievement, independent of their own socio</w:t>
      </w:r>
      <w:r w:rsidR="00A21E40" w:rsidRPr="00852CE5">
        <w:rPr>
          <w:rFonts w:cs="Arial"/>
        </w:rPr>
        <w:t>economic status.</w:t>
      </w:r>
      <w:r w:rsidR="00762C7B" w:rsidRPr="00852CE5">
        <w:rPr>
          <w:rFonts w:cs="Arial"/>
        </w:rPr>
        <w:t xml:space="preserve"> This is likely to be a mix of school/service effects and peer effects.</w:t>
      </w:r>
    </w:p>
    <w:p w:rsidR="00CD1D94" w:rsidRPr="00852CE5" w:rsidRDefault="00CD1D94" w:rsidP="00CD1D94">
      <w:pPr>
        <w:jc w:val="both"/>
        <w:rPr>
          <w:rFonts w:cs="Arial"/>
        </w:rPr>
      </w:pPr>
    </w:p>
    <w:p w:rsidR="00762C7B" w:rsidRDefault="00D15D9D" w:rsidP="00CD1D94">
      <w:pPr>
        <w:jc w:val="both"/>
        <w:rPr>
          <w:rFonts w:cs="Arial"/>
        </w:rPr>
      </w:pPr>
      <w:r w:rsidRPr="00852CE5">
        <w:rPr>
          <w:rFonts w:cs="Arial"/>
        </w:rPr>
        <w:t xml:space="preserve">It is also likely </w:t>
      </w:r>
      <w:r w:rsidR="00762C7B" w:rsidRPr="00852CE5">
        <w:rPr>
          <w:rFonts w:cs="Arial"/>
        </w:rPr>
        <w:t>that the cost of delivering education rises disproportionately</w:t>
      </w:r>
      <w:r w:rsidRPr="00852CE5">
        <w:rPr>
          <w:rFonts w:cs="Arial"/>
        </w:rPr>
        <w:t xml:space="preserve"> with a rising </w:t>
      </w:r>
      <w:r w:rsidR="00702E2C" w:rsidRPr="00852CE5">
        <w:rPr>
          <w:rFonts w:cs="Arial"/>
        </w:rPr>
        <w:t>share of enrolments</w:t>
      </w:r>
      <w:r w:rsidRPr="00852CE5">
        <w:rPr>
          <w:rFonts w:cs="Arial"/>
        </w:rPr>
        <w:t xml:space="preserve"> </w:t>
      </w:r>
      <w:r w:rsidR="001A1F7E">
        <w:rPr>
          <w:rFonts w:cs="Arial"/>
        </w:rPr>
        <w:t>of</w:t>
      </w:r>
      <w:r w:rsidR="001A1F7E" w:rsidRPr="00852CE5">
        <w:rPr>
          <w:rFonts w:cs="Arial"/>
        </w:rPr>
        <w:t xml:space="preserve"> </w:t>
      </w:r>
      <w:r w:rsidRPr="00852CE5">
        <w:rPr>
          <w:rFonts w:cs="Arial"/>
        </w:rPr>
        <w:t>children and young people at risk of educational under-achievement</w:t>
      </w:r>
      <w:r w:rsidR="00762C7B" w:rsidRPr="00852CE5">
        <w:rPr>
          <w:rFonts w:cs="Arial"/>
        </w:rPr>
        <w:t xml:space="preserve">. So there </w:t>
      </w:r>
      <w:r w:rsidR="00702E2C" w:rsidRPr="00852CE5">
        <w:rPr>
          <w:rFonts w:cs="Arial"/>
        </w:rPr>
        <w:t>is arguably</w:t>
      </w:r>
      <w:r w:rsidR="00762C7B" w:rsidRPr="00852CE5">
        <w:rPr>
          <w:rFonts w:cs="Arial"/>
        </w:rPr>
        <w:t xml:space="preserve"> a cost element to concentration</w:t>
      </w:r>
      <w:r w:rsidR="004D1423">
        <w:rPr>
          <w:rFonts w:cs="Arial"/>
        </w:rPr>
        <w:t xml:space="preserve"> that is not fully covered by </w:t>
      </w:r>
      <w:r w:rsidR="00762C7B" w:rsidRPr="00852CE5">
        <w:rPr>
          <w:rFonts w:cs="Arial"/>
        </w:rPr>
        <w:t>simple per-</w:t>
      </w:r>
      <w:r w:rsidR="00702E2C" w:rsidRPr="00852CE5">
        <w:rPr>
          <w:rFonts w:cs="Arial"/>
        </w:rPr>
        <w:t>enrolment</w:t>
      </w:r>
      <w:r w:rsidR="00762C7B" w:rsidRPr="00852CE5">
        <w:rPr>
          <w:rFonts w:cs="Arial"/>
        </w:rPr>
        <w:t xml:space="preserve"> additional </w:t>
      </w:r>
      <w:r w:rsidR="004D1423">
        <w:rPr>
          <w:rFonts w:cs="Arial"/>
        </w:rPr>
        <w:t>funding</w:t>
      </w:r>
      <w:r w:rsidR="00762C7B" w:rsidRPr="00852CE5">
        <w:rPr>
          <w:rFonts w:cs="Arial"/>
        </w:rPr>
        <w:t>.</w:t>
      </w:r>
    </w:p>
    <w:p w:rsidR="00CD1D94" w:rsidRPr="00852CE5" w:rsidRDefault="00CD1D94" w:rsidP="00CD1D94">
      <w:pPr>
        <w:jc w:val="both"/>
        <w:rPr>
          <w:rFonts w:cs="Arial"/>
        </w:rPr>
      </w:pPr>
    </w:p>
    <w:p w:rsidR="006B78E9" w:rsidRDefault="00762C7B" w:rsidP="00CD1D94">
      <w:pPr>
        <w:jc w:val="both"/>
        <w:rPr>
          <w:rFonts w:cs="Arial"/>
        </w:rPr>
      </w:pPr>
      <w:r w:rsidRPr="00852CE5">
        <w:rPr>
          <w:rFonts w:cs="Arial"/>
        </w:rPr>
        <w:t>The c</w:t>
      </w:r>
      <w:r w:rsidR="00597FF8" w:rsidRPr="00852CE5">
        <w:rPr>
          <w:rFonts w:cs="Arial"/>
        </w:rPr>
        <w:t xml:space="preserve">urrent decile </w:t>
      </w:r>
      <w:r w:rsidR="00466BAB" w:rsidRPr="00852CE5">
        <w:rPr>
          <w:rFonts w:cs="Arial"/>
        </w:rPr>
        <w:t xml:space="preserve">funding arrangements </w:t>
      </w:r>
      <w:r w:rsidR="00597FF8" w:rsidRPr="00852CE5">
        <w:rPr>
          <w:rFonts w:cs="Arial"/>
        </w:rPr>
        <w:t xml:space="preserve">contain an implicit </w:t>
      </w:r>
      <w:r w:rsidRPr="00852CE5">
        <w:rPr>
          <w:rFonts w:cs="Arial"/>
        </w:rPr>
        <w:t>loading for concentration</w:t>
      </w:r>
      <w:r w:rsidR="00466BAB" w:rsidRPr="00852CE5">
        <w:rPr>
          <w:rFonts w:cs="Arial"/>
        </w:rPr>
        <w:t xml:space="preserve">. </w:t>
      </w:r>
      <w:r w:rsidR="006B78E9" w:rsidRPr="00852CE5">
        <w:rPr>
          <w:rFonts w:cs="Arial"/>
        </w:rPr>
        <w:t xml:space="preserve">As </w:t>
      </w:r>
      <w:fldSimple w:instr=" REF _Ref450745466 \h  \* MERGEFORMAT ">
        <w:r w:rsidR="00912CD2" w:rsidRPr="00912CD2">
          <w:t>Figure 2</w:t>
        </w:r>
      </w:fldSimple>
      <w:r w:rsidR="006B78E9" w:rsidRPr="00852CE5">
        <w:rPr>
          <w:rFonts w:cs="Arial"/>
        </w:rPr>
        <w:t xml:space="preserve"> illustrates, for both the ECE and schooling sectors there is a steep curve to the funding steps for lower deciles.</w:t>
      </w:r>
      <w:r w:rsidR="00466BAB" w:rsidRPr="00852CE5">
        <w:rPr>
          <w:rFonts w:cs="Arial"/>
        </w:rPr>
        <w:t xml:space="preserve"> The funding rates increase more steeply between deciles than the increase </w:t>
      </w:r>
      <w:r w:rsidR="00C87412">
        <w:rPr>
          <w:rFonts w:cs="Arial"/>
        </w:rPr>
        <w:t xml:space="preserve">in the average proportion of at </w:t>
      </w:r>
      <w:r w:rsidR="00466BAB" w:rsidRPr="00852CE5">
        <w:rPr>
          <w:rFonts w:cs="Arial"/>
        </w:rPr>
        <w:t xml:space="preserve">risk children and young children in a service or school. </w:t>
      </w:r>
    </w:p>
    <w:p w:rsidR="00CD1D94" w:rsidRPr="00852CE5" w:rsidRDefault="00CD1D94" w:rsidP="00CD1D94">
      <w:pPr>
        <w:jc w:val="both"/>
        <w:rPr>
          <w:rFonts w:cs="Arial"/>
        </w:rPr>
      </w:pPr>
    </w:p>
    <w:p w:rsidR="006B78E9" w:rsidRDefault="006B78E9" w:rsidP="00096EB8">
      <w:pPr>
        <w:pStyle w:val="Caption"/>
        <w:keepNext/>
        <w:jc w:val="center"/>
        <w:rPr>
          <w:rFonts w:ascii="Arial" w:hAnsi="Arial" w:cs="Arial"/>
          <w:color w:val="auto"/>
          <w:sz w:val="22"/>
          <w:szCs w:val="22"/>
        </w:rPr>
      </w:pPr>
      <w:bookmarkStart w:id="24" w:name="_Ref450745466"/>
      <w:r w:rsidRPr="00066CD4">
        <w:rPr>
          <w:rFonts w:ascii="Arial" w:hAnsi="Arial" w:cs="Arial"/>
          <w:color w:val="auto"/>
          <w:sz w:val="22"/>
          <w:szCs w:val="22"/>
        </w:rPr>
        <w:t xml:space="preserve">Figure </w:t>
      </w:r>
      <w:r w:rsidR="0072202C" w:rsidRPr="00066CD4">
        <w:rPr>
          <w:rFonts w:ascii="Arial" w:hAnsi="Arial" w:cs="Arial"/>
          <w:color w:val="auto"/>
          <w:sz w:val="22"/>
          <w:szCs w:val="22"/>
        </w:rPr>
        <w:fldChar w:fldCharType="begin"/>
      </w:r>
      <w:r w:rsidR="000A48E6" w:rsidRPr="00066CD4">
        <w:rPr>
          <w:rFonts w:ascii="Arial" w:hAnsi="Arial" w:cs="Arial"/>
          <w:color w:val="auto"/>
          <w:sz w:val="22"/>
          <w:szCs w:val="22"/>
        </w:rPr>
        <w:instrText xml:space="preserve"> SEQ Figure \* ARABIC </w:instrText>
      </w:r>
      <w:r w:rsidR="0072202C" w:rsidRPr="00066CD4">
        <w:rPr>
          <w:rFonts w:ascii="Arial" w:hAnsi="Arial" w:cs="Arial"/>
          <w:color w:val="auto"/>
          <w:sz w:val="22"/>
          <w:szCs w:val="22"/>
        </w:rPr>
        <w:fldChar w:fldCharType="separate"/>
      </w:r>
      <w:r w:rsidR="00912CD2" w:rsidRPr="00066CD4">
        <w:rPr>
          <w:rFonts w:ascii="Arial" w:hAnsi="Arial" w:cs="Arial"/>
          <w:noProof/>
          <w:color w:val="auto"/>
          <w:sz w:val="22"/>
          <w:szCs w:val="22"/>
        </w:rPr>
        <w:t>2</w:t>
      </w:r>
      <w:r w:rsidR="0072202C" w:rsidRPr="00066CD4">
        <w:rPr>
          <w:rFonts w:ascii="Arial" w:hAnsi="Arial" w:cs="Arial"/>
          <w:color w:val="auto"/>
          <w:sz w:val="22"/>
          <w:szCs w:val="22"/>
        </w:rPr>
        <w:fldChar w:fldCharType="end"/>
      </w:r>
      <w:bookmarkEnd w:id="24"/>
      <w:r w:rsidR="00CD1D94" w:rsidRPr="00066CD4">
        <w:rPr>
          <w:rFonts w:ascii="Arial" w:hAnsi="Arial" w:cs="Arial"/>
          <w:color w:val="auto"/>
          <w:sz w:val="22"/>
          <w:szCs w:val="22"/>
        </w:rPr>
        <w:t>:</w:t>
      </w:r>
      <w:r w:rsidRPr="00066CD4">
        <w:rPr>
          <w:rFonts w:ascii="Arial" w:hAnsi="Arial" w:cs="Arial"/>
          <w:color w:val="auto"/>
          <w:sz w:val="22"/>
          <w:szCs w:val="22"/>
        </w:rPr>
        <w:t xml:space="preserve"> Slope of Funding by Decile Band/ Equity Index, for Targeted Funding for Education</w:t>
      </w:r>
      <w:r w:rsidR="001A1F7E" w:rsidRPr="00066CD4">
        <w:rPr>
          <w:rFonts w:ascii="Arial" w:hAnsi="Arial" w:cs="Arial"/>
          <w:color w:val="auto"/>
          <w:sz w:val="22"/>
          <w:szCs w:val="22"/>
        </w:rPr>
        <w:t>al</w:t>
      </w:r>
      <w:r w:rsidRPr="00066CD4">
        <w:rPr>
          <w:rFonts w:ascii="Arial" w:hAnsi="Arial" w:cs="Arial"/>
          <w:color w:val="auto"/>
          <w:sz w:val="22"/>
          <w:szCs w:val="22"/>
        </w:rPr>
        <w:t xml:space="preserve"> Achievement (schools) and Equity Funding Component A (ECE)</w:t>
      </w:r>
    </w:p>
    <w:p w:rsidR="00066CD4" w:rsidRPr="00066CD4" w:rsidRDefault="00066CD4" w:rsidP="00066CD4">
      <w:pPr>
        <w:rPr>
          <w:sz w:val="12"/>
          <w:szCs w:val="12"/>
          <w:lang w:val="en-AU"/>
        </w:rPr>
      </w:pPr>
    </w:p>
    <w:p w:rsidR="006B78E9" w:rsidRPr="006B78E9" w:rsidRDefault="006B78E9" w:rsidP="00096EB8">
      <w:pPr>
        <w:spacing w:after="240"/>
        <w:jc w:val="center"/>
        <w:rPr>
          <w:rFonts w:cs="Arial"/>
        </w:rPr>
      </w:pPr>
      <w:r w:rsidRPr="006B78E9">
        <w:rPr>
          <w:rFonts w:cs="Arial"/>
          <w:noProof/>
          <w:lang w:eastAsia="en-NZ"/>
        </w:rPr>
        <w:drawing>
          <wp:inline distT="0" distB="0" distL="0" distR="0">
            <wp:extent cx="5943600" cy="29718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1D94" w:rsidRDefault="00466BAB" w:rsidP="00096EB8">
      <w:pPr>
        <w:jc w:val="both"/>
        <w:rPr>
          <w:rFonts w:cs="Arial"/>
        </w:rPr>
      </w:pPr>
      <w:r w:rsidRPr="00852CE5">
        <w:rPr>
          <w:rFonts w:cs="Arial"/>
        </w:rPr>
        <w:t xml:space="preserve">A key issue that needs to be addressed is at what level concentration begins to materially impact on achievement and costs, and how these impacts increase </w:t>
      </w:r>
      <w:r w:rsidR="001A1F7E">
        <w:rPr>
          <w:rFonts w:cs="Arial"/>
        </w:rPr>
        <w:t>as the level of concentration increases.</w:t>
      </w:r>
    </w:p>
    <w:p w:rsidR="00066CD4" w:rsidRDefault="00066CD4" w:rsidP="00066CD4">
      <w:pPr>
        <w:spacing w:line="240" w:lineRule="atLeast"/>
        <w:rPr>
          <w:rFonts w:cs="Arial"/>
        </w:rPr>
      </w:pPr>
    </w:p>
    <w:p w:rsidR="00C031BB" w:rsidRPr="0061021C" w:rsidRDefault="00CD1D94" w:rsidP="007761BF">
      <w:pPr>
        <w:pBdr>
          <w:top w:val="single" w:sz="4" w:space="1" w:color="auto"/>
          <w:left w:val="single" w:sz="4" w:space="4" w:color="auto"/>
          <w:bottom w:val="single" w:sz="4" w:space="1" w:color="auto"/>
          <w:right w:val="single" w:sz="4" w:space="0" w:color="auto"/>
        </w:pBdr>
        <w:ind w:left="357" w:right="510"/>
        <w:rPr>
          <w:rFonts w:cs="Arial"/>
          <w:i/>
        </w:rPr>
      </w:pPr>
      <w:r w:rsidRPr="0061021C">
        <w:rPr>
          <w:rFonts w:cs="Arial"/>
          <w:i/>
        </w:rPr>
        <w:t>Question for discussion</w:t>
      </w:r>
    </w:p>
    <w:p w:rsidR="00CD1D94" w:rsidRPr="007761BF" w:rsidRDefault="00CD1D94" w:rsidP="007761BF">
      <w:pPr>
        <w:pBdr>
          <w:top w:val="single" w:sz="4" w:space="1" w:color="auto"/>
          <w:left w:val="single" w:sz="4" w:space="4" w:color="auto"/>
          <w:bottom w:val="single" w:sz="4" w:space="1" w:color="auto"/>
          <w:right w:val="single" w:sz="4" w:space="0" w:color="auto"/>
        </w:pBdr>
        <w:ind w:left="357" w:right="510"/>
        <w:rPr>
          <w:rFonts w:cs="Arial"/>
        </w:rPr>
      </w:pPr>
    </w:p>
    <w:p w:rsidR="00C031BB" w:rsidRPr="00852CE5" w:rsidRDefault="00C031BB" w:rsidP="007761BF">
      <w:pPr>
        <w:pBdr>
          <w:top w:val="single" w:sz="4" w:space="1" w:color="auto"/>
          <w:left w:val="single" w:sz="4" w:space="4" w:color="auto"/>
          <w:bottom w:val="single" w:sz="4" w:space="1" w:color="auto"/>
          <w:right w:val="single" w:sz="4" w:space="0" w:color="auto"/>
        </w:pBdr>
        <w:ind w:left="357" w:right="510"/>
        <w:rPr>
          <w:rFonts w:cs="Arial"/>
          <w:i/>
        </w:rPr>
      </w:pPr>
      <w:r w:rsidRPr="00852CE5">
        <w:rPr>
          <w:rFonts w:cs="Arial"/>
          <w:i/>
        </w:rPr>
        <w:t xml:space="preserve">Should the additional </w:t>
      </w:r>
      <w:r w:rsidR="004D1423">
        <w:rPr>
          <w:rFonts w:cs="Arial"/>
          <w:i/>
        </w:rPr>
        <w:t>funding</w:t>
      </w:r>
      <w:r w:rsidRPr="00852CE5">
        <w:rPr>
          <w:rFonts w:cs="Arial"/>
          <w:i/>
        </w:rPr>
        <w:t xml:space="preserve"> be based on the number of children and young people </w:t>
      </w:r>
      <w:r w:rsidR="004D1423" w:rsidRPr="004D1423">
        <w:rPr>
          <w:rFonts w:cs="Arial"/>
          <w:i/>
        </w:rPr>
        <w:t xml:space="preserve">who meet the criteria for being most </w:t>
      </w:r>
      <w:r w:rsidRPr="00852CE5">
        <w:rPr>
          <w:rFonts w:cs="Arial"/>
          <w:i/>
        </w:rPr>
        <w:t xml:space="preserve">at risk of educational under-achievement on a ‘one-for-one’ basis, or should ECE services and schools with larger proportions </w:t>
      </w:r>
      <w:r w:rsidR="001A1F7E">
        <w:rPr>
          <w:rFonts w:cs="Arial"/>
          <w:i/>
        </w:rPr>
        <w:t xml:space="preserve">of </w:t>
      </w:r>
      <w:r w:rsidRPr="00852CE5">
        <w:rPr>
          <w:rFonts w:cs="Arial"/>
          <w:i/>
        </w:rPr>
        <w:t xml:space="preserve">at-risk enrolments receive an additional loading for ‘concentration’? </w:t>
      </w:r>
    </w:p>
    <w:p w:rsidR="00C031BB" w:rsidRDefault="00C031BB" w:rsidP="00CD1D94">
      <w:pPr>
        <w:rPr>
          <w:rFonts w:cs="Arial"/>
        </w:rPr>
      </w:pPr>
    </w:p>
    <w:p w:rsidR="0061021C" w:rsidRDefault="004041ED" w:rsidP="00CD1D94">
      <w:pPr>
        <w:jc w:val="both"/>
        <w:rPr>
          <w:rFonts w:cs="Arial"/>
        </w:rPr>
      </w:pPr>
      <w:bookmarkStart w:id="25" w:name="_Ref451762770"/>
      <w:r w:rsidRPr="00852CE5">
        <w:rPr>
          <w:rFonts w:cs="Arial"/>
        </w:rPr>
        <w:t>A related consideration is whether there should be any cut-off point excluding services and school with small numbers of at</w:t>
      </w:r>
      <w:r w:rsidR="00C87412">
        <w:rPr>
          <w:rFonts w:cs="Arial"/>
        </w:rPr>
        <w:t xml:space="preserve"> </w:t>
      </w:r>
      <w:r w:rsidRPr="00852CE5">
        <w:rPr>
          <w:rFonts w:cs="Arial"/>
        </w:rPr>
        <w:t>risk enro</w:t>
      </w:r>
      <w:r w:rsidR="00830778" w:rsidRPr="00852CE5">
        <w:rPr>
          <w:rFonts w:cs="Arial"/>
        </w:rPr>
        <w:t>lments. The current decile</w:t>
      </w:r>
      <w:r w:rsidRPr="00852CE5">
        <w:rPr>
          <w:rFonts w:cs="Arial"/>
        </w:rPr>
        <w:t xml:space="preserve"> system has an implicit cut-off as not all deciles receive the additional funding. This is </w:t>
      </w:r>
      <w:r w:rsidR="0061021C">
        <w:rPr>
          <w:rFonts w:cs="Arial"/>
        </w:rPr>
        <w:t>especially</w:t>
      </w:r>
      <w:r w:rsidRPr="00852CE5">
        <w:rPr>
          <w:rFonts w:cs="Arial"/>
        </w:rPr>
        <w:t xml:space="preserve"> the case for ECE where only services with relatively large concentrations of risk (the first four Equity Index deciles) receive any funding.</w:t>
      </w:r>
    </w:p>
    <w:p w:rsidR="00E246A1" w:rsidRPr="0033060F" w:rsidRDefault="00E246A1" w:rsidP="0033060F">
      <w:pPr>
        <w:pStyle w:val="MoEHeading1"/>
      </w:pPr>
      <w:bookmarkStart w:id="26" w:name="_Toc451770537"/>
      <w:bookmarkStart w:id="27" w:name="_Ref449572596"/>
      <w:bookmarkEnd w:id="25"/>
      <w:r w:rsidRPr="0033060F">
        <w:t xml:space="preserve">Scale of additional </w:t>
      </w:r>
      <w:bookmarkEnd w:id="26"/>
      <w:r w:rsidR="004D1423" w:rsidRPr="0033060F">
        <w:t>funding</w:t>
      </w:r>
    </w:p>
    <w:p w:rsidR="007761BF" w:rsidRDefault="007761BF" w:rsidP="00CD1D94">
      <w:pPr>
        <w:jc w:val="both"/>
      </w:pPr>
    </w:p>
    <w:p w:rsidR="00411AA7" w:rsidRDefault="00A92827" w:rsidP="00CD1D94">
      <w:pPr>
        <w:jc w:val="both"/>
      </w:pPr>
      <w:r>
        <w:t xml:space="preserve">At present, </w:t>
      </w:r>
      <w:r w:rsidR="00E246A1">
        <w:t xml:space="preserve">funding to support ECE services </w:t>
      </w:r>
      <w:r w:rsidR="00411AA7">
        <w:t xml:space="preserve">and schools to address the needs of children </w:t>
      </w:r>
      <w:r w:rsidR="001111D4">
        <w:t xml:space="preserve">and young people </w:t>
      </w:r>
      <w:r w:rsidR="00411AA7">
        <w:t xml:space="preserve">at risk of educational under-achievement makes up only </w:t>
      </w:r>
      <w:r w:rsidR="001E24BC">
        <w:t>about 2-3% of overall funding</w:t>
      </w:r>
      <w:r w:rsidR="00411AA7">
        <w:t xml:space="preserve">. The replacement additional </w:t>
      </w:r>
      <w:r w:rsidR="004D1423">
        <w:t>funding</w:t>
      </w:r>
      <w:r w:rsidR="00411AA7">
        <w:t xml:space="preserve"> could either be kept at this scale, or expanded by reallocating funding from other </w:t>
      </w:r>
      <w:r w:rsidR="001E24BC">
        <w:t>elements</w:t>
      </w:r>
      <w:r w:rsidR="00411AA7">
        <w:t xml:space="preserve"> of </w:t>
      </w:r>
      <w:r w:rsidR="001E24BC">
        <w:t xml:space="preserve">the </w:t>
      </w:r>
      <w:r w:rsidR="00411AA7">
        <w:t xml:space="preserve">ECE subsidies and school </w:t>
      </w:r>
      <w:r>
        <w:t>funding</w:t>
      </w:r>
      <w:r w:rsidR="00411AA7">
        <w:t>.</w:t>
      </w:r>
      <w:bookmarkEnd w:id="27"/>
    </w:p>
    <w:p w:rsidR="00CD1D94" w:rsidRDefault="00CD1D94" w:rsidP="00CD1D94">
      <w:pPr>
        <w:jc w:val="both"/>
      </w:pPr>
    </w:p>
    <w:p w:rsidR="00884DB7" w:rsidRDefault="0085004D" w:rsidP="00CD1D94">
      <w:pPr>
        <w:jc w:val="both"/>
      </w:pPr>
      <w:r>
        <w:t>There has been little</w:t>
      </w:r>
      <w:r w:rsidR="00411AA7">
        <w:t xml:space="preserve"> substantive improvement in the equity of educational outcomes</w:t>
      </w:r>
      <w:r>
        <w:t xml:space="preserve"> in New Zealand</w:t>
      </w:r>
      <w:r w:rsidR="00411AA7">
        <w:t xml:space="preserve"> </w:t>
      </w:r>
      <w:r w:rsidR="00722835">
        <w:t>over recent decades</w:t>
      </w:r>
      <w:r w:rsidR="00F34396">
        <w:t xml:space="preserve">. </w:t>
      </w:r>
      <w:r w:rsidR="00CC03AC">
        <w:t xml:space="preserve">Although </w:t>
      </w:r>
      <w:r>
        <w:t>the decile system has some</w:t>
      </w:r>
      <w:r w:rsidR="00F34396">
        <w:t xml:space="preserve"> weaknesses</w:t>
      </w:r>
      <w:r w:rsidR="00CC03AC" w:rsidRPr="00CC03AC">
        <w:t xml:space="preserve"> </w:t>
      </w:r>
      <w:r w:rsidR="00CC03AC">
        <w:t xml:space="preserve">(as discussed on page </w:t>
      </w:r>
      <w:r w:rsidR="004D1423">
        <w:t>4</w:t>
      </w:r>
      <w:r w:rsidR="00CC03AC">
        <w:t>)</w:t>
      </w:r>
      <w:r w:rsidR="00F34396">
        <w:t xml:space="preserve">, </w:t>
      </w:r>
      <w:r>
        <w:t xml:space="preserve">this lack of improvement </w:t>
      </w:r>
      <w:r w:rsidR="00CC03AC">
        <w:t xml:space="preserve">may also reflect the </w:t>
      </w:r>
      <w:r>
        <w:t>balance between ‘general’ and ‘targeted’ funding</w:t>
      </w:r>
      <w:r w:rsidR="00CC03AC">
        <w:t xml:space="preserve">. If so, there </w:t>
      </w:r>
      <w:r w:rsidR="00411AA7">
        <w:t>may be merit in adjusting this balance to ‘lean’ the focus more towards addressing risks of educational under-achievement.</w:t>
      </w:r>
    </w:p>
    <w:p w:rsidR="00CD1D94" w:rsidRDefault="00CD1D94" w:rsidP="00CD1D94">
      <w:pPr>
        <w:jc w:val="both"/>
      </w:pPr>
    </w:p>
    <w:p w:rsidR="00411AA7" w:rsidRDefault="00411AA7" w:rsidP="00CD1D94">
      <w:pPr>
        <w:jc w:val="both"/>
      </w:pPr>
      <w:r>
        <w:t xml:space="preserve">The extent to which we shift the funding systems to ‘lean’ more towards addressing risks of educational under-achievement would also have implications for the distributional impact of the proposed changes, in the case of both ECE and schooling.  </w:t>
      </w:r>
    </w:p>
    <w:p w:rsidR="00CD1D94" w:rsidRDefault="00CD1D94" w:rsidP="00CD1D94">
      <w:pPr>
        <w:jc w:val="both"/>
      </w:pPr>
    </w:p>
    <w:p w:rsidR="00411AA7" w:rsidRDefault="00411AA7" w:rsidP="00CD1D94">
      <w:pPr>
        <w:jc w:val="both"/>
      </w:pPr>
      <w:r>
        <w:t>In general terms, if the current level funding were allocated using a</w:t>
      </w:r>
      <w:r w:rsidR="002548D3">
        <w:t>n</w:t>
      </w:r>
      <w:r>
        <w:t xml:space="preserve"> </w:t>
      </w:r>
      <w:r w:rsidR="00C80423">
        <w:t>individual-based</w:t>
      </w:r>
      <w:r>
        <w:t xml:space="preserve"> approach this is likely to lead to a s</w:t>
      </w:r>
      <w:r w:rsidR="001E24BC">
        <w:t>hift in funding from low to mid-</w:t>
      </w:r>
      <w:r>
        <w:t>high decile services and schools</w:t>
      </w:r>
      <w:r w:rsidR="002548D3">
        <w:t>, even if there is a concentration loading</w:t>
      </w:r>
      <w:r>
        <w:t xml:space="preserve">. </w:t>
      </w:r>
      <w:r w:rsidRPr="00F9164B">
        <w:t>This is because</w:t>
      </w:r>
      <w:r w:rsidR="00A92827">
        <w:t xml:space="preserve"> </w:t>
      </w:r>
      <w:r w:rsidR="00AE13AA">
        <w:t xml:space="preserve">the funding would be spread more thinly, especially in ECE, as some services and schools currently receive no additional funding to meet the needs of students from </w:t>
      </w:r>
      <w:r w:rsidR="007D57AD">
        <w:t>low socioeconomic</w:t>
      </w:r>
      <w:r w:rsidR="00AE13AA">
        <w:t xml:space="preserve"> communities.  </w:t>
      </w:r>
    </w:p>
    <w:p w:rsidR="00CD1D94" w:rsidRDefault="00CD1D94" w:rsidP="00CD1D94">
      <w:pPr>
        <w:jc w:val="both"/>
      </w:pPr>
    </w:p>
    <w:p w:rsidR="00411AA7" w:rsidRDefault="00411AA7" w:rsidP="00CD1D94">
      <w:pPr>
        <w:jc w:val="both"/>
        <w:rPr>
          <w:rFonts w:cs="Arial"/>
        </w:rPr>
      </w:pPr>
      <w:r>
        <w:t xml:space="preserve">If we were to increase the share of total funding allocated through the additional </w:t>
      </w:r>
      <w:r w:rsidR="004D1423">
        <w:t>funding</w:t>
      </w:r>
      <w:r w:rsidR="00791E00">
        <w:t xml:space="preserve"> in respect of</w:t>
      </w:r>
      <w:r>
        <w:t xml:space="preserve"> children </w:t>
      </w:r>
      <w:r w:rsidR="004D1423" w:rsidRPr="00852CE5">
        <w:rPr>
          <w:rFonts w:cs="Arial"/>
        </w:rPr>
        <w:t xml:space="preserve">who </w:t>
      </w:r>
      <w:r w:rsidR="004D1423">
        <w:rPr>
          <w:rFonts w:cs="Arial"/>
        </w:rPr>
        <w:t xml:space="preserve">meet the criteria for being most </w:t>
      </w:r>
      <w:r>
        <w:t>at risk of educational under-achievement, the s</w:t>
      </w:r>
      <w:r w:rsidR="001E24BC">
        <w:t>hift in funding from low to mid-</w:t>
      </w:r>
      <w:r>
        <w:t>high decile services and schools would be substantially mitigated</w:t>
      </w:r>
      <w:r w:rsidRPr="00852CE5">
        <w:rPr>
          <w:rFonts w:cs="Arial"/>
        </w:rPr>
        <w:t>.</w:t>
      </w:r>
    </w:p>
    <w:p w:rsidR="00CD1D94" w:rsidRPr="00411AA7" w:rsidRDefault="00CD1D94" w:rsidP="00CD1D94">
      <w:pPr>
        <w:jc w:val="both"/>
      </w:pPr>
    </w:p>
    <w:p w:rsidR="005031FE" w:rsidRPr="0061021C" w:rsidRDefault="005031FE" w:rsidP="005031FE">
      <w:pPr>
        <w:pBdr>
          <w:top w:val="single" w:sz="4" w:space="1" w:color="auto"/>
          <w:left w:val="single" w:sz="4" w:space="4" w:color="auto"/>
          <w:bottom w:val="single" w:sz="4" w:space="1" w:color="auto"/>
          <w:right w:val="single" w:sz="4" w:space="0" w:color="auto"/>
        </w:pBdr>
        <w:ind w:left="357" w:right="510"/>
        <w:rPr>
          <w:rFonts w:cs="Arial"/>
          <w:i/>
        </w:rPr>
      </w:pPr>
      <w:r w:rsidRPr="0061021C">
        <w:rPr>
          <w:rFonts w:cs="Arial"/>
          <w:i/>
        </w:rPr>
        <w:t>Question for discussion</w:t>
      </w:r>
    </w:p>
    <w:p w:rsidR="007761BF" w:rsidRPr="007761BF" w:rsidRDefault="007761BF" w:rsidP="007761BF">
      <w:pPr>
        <w:pBdr>
          <w:top w:val="single" w:sz="4" w:space="1" w:color="auto"/>
          <w:left w:val="single" w:sz="4" w:space="4" w:color="auto"/>
          <w:bottom w:val="single" w:sz="4" w:space="1" w:color="auto"/>
          <w:right w:val="single" w:sz="4" w:space="0" w:color="auto"/>
        </w:pBdr>
        <w:ind w:left="357" w:right="510"/>
        <w:rPr>
          <w:rFonts w:cs="Arial"/>
          <w:i/>
        </w:rPr>
      </w:pPr>
    </w:p>
    <w:p w:rsidR="007761BF" w:rsidRPr="007761BF" w:rsidRDefault="00411AA7" w:rsidP="007761BF">
      <w:pPr>
        <w:pBdr>
          <w:top w:val="single" w:sz="4" w:space="1" w:color="auto"/>
          <w:left w:val="single" w:sz="4" w:space="4" w:color="auto"/>
          <w:bottom w:val="single" w:sz="4" w:space="1" w:color="auto"/>
          <w:right w:val="single" w:sz="4" w:space="0" w:color="auto"/>
        </w:pBdr>
        <w:ind w:left="357" w:right="510"/>
        <w:rPr>
          <w:rFonts w:cs="Arial"/>
          <w:i/>
        </w:rPr>
      </w:pPr>
      <w:r w:rsidRPr="007761BF">
        <w:rPr>
          <w:rFonts w:cs="Arial"/>
          <w:i/>
        </w:rPr>
        <w:t xml:space="preserve">Should </w:t>
      </w:r>
      <w:r w:rsidR="00925360" w:rsidRPr="007761BF">
        <w:rPr>
          <w:rFonts w:cs="Arial"/>
          <w:i/>
        </w:rPr>
        <w:t>we ‘lean’ the focus of the sectors more towards addressing risks of educational under-achievement, by reallocat</w:t>
      </w:r>
      <w:r w:rsidR="005031FE">
        <w:rPr>
          <w:rFonts w:cs="Arial"/>
          <w:i/>
        </w:rPr>
        <w:t>ing</w:t>
      </w:r>
      <w:r w:rsidR="00925360" w:rsidRPr="007761BF">
        <w:rPr>
          <w:rFonts w:cs="Arial"/>
          <w:i/>
        </w:rPr>
        <w:t xml:space="preserve"> </w:t>
      </w:r>
      <w:r w:rsidR="00A31224" w:rsidRPr="007761BF">
        <w:rPr>
          <w:rFonts w:cs="Arial"/>
          <w:i/>
        </w:rPr>
        <w:t xml:space="preserve">some of the current ‘general’ funding to ECE services and schools </w:t>
      </w:r>
      <w:r w:rsidR="00925360" w:rsidRPr="007761BF">
        <w:rPr>
          <w:rFonts w:cs="Arial"/>
          <w:i/>
        </w:rPr>
        <w:t xml:space="preserve">to expand the new additional </w:t>
      </w:r>
      <w:r w:rsidR="009561CB">
        <w:rPr>
          <w:rFonts w:cs="Arial"/>
          <w:i/>
        </w:rPr>
        <w:t>funding</w:t>
      </w:r>
      <w:r w:rsidR="00A31224" w:rsidRPr="007761BF">
        <w:rPr>
          <w:rFonts w:cs="Arial"/>
          <w:i/>
        </w:rPr>
        <w:t>?</w:t>
      </w:r>
    </w:p>
    <w:p w:rsidR="00E93750" w:rsidRPr="00F66D40" w:rsidRDefault="00E93750" w:rsidP="004A2B55">
      <w:pPr>
        <w:pStyle w:val="MoEBodyText"/>
        <w:spacing w:line="240" w:lineRule="auto"/>
        <w:rPr>
          <w:sz w:val="18"/>
          <w:szCs w:val="18"/>
        </w:rPr>
      </w:pPr>
    </w:p>
    <w:sectPr w:rsidR="00E93750" w:rsidRPr="00F66D40" w:rsidSect="00660BF6">
      <w:headerReference w:type="default" r:id="rId16"/>
      <w:footerReference w:type="default" r:id="rId17"/>
      <w:footerReference w:type="first" r:id="rId18"/>
      <w:endnotePr>
        <w:numFmt w:val="decimal"/>
      </w:endnotePr>
      <w:pgSz w:w="11906" w:h="16838"/>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F6E" w:rsidRDefault="00870F6E" w:rsidP="00882F80">
      <w:r>
        <w:separator/>
      </w:r>
    </w:p>
  </w:endnote>
  <w:endnote w:type="continuationSeparator" w:id="0">
    <w:p w:rsidR="00870F6E" w:rsidRDefault="00870F6E" w:rsidP="00882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919650"/>
      <w:docPartObj>
        <w:docPartGallery w:val="Page Numbers (Bottom of Page)"/>
        <w:docPartUnique/>
      </w:docPartObj>
    </w:sdtPr>
    <w:sdtContent>
      <w:p w:rsidR="00870F6E" w:rsidRPr="00096EB8" w:rsidRDefault="00660BF6" w:rsidP="00F35138">
        <w:pPr>
          <w:pStyle w:val="Footer"/>
          <w:tabs>
            <w:tab w:val="clear" w:pos="9026"/>
            <w:tab w:val="left" w:pos="1101"/>
            <w:tab w:val="right" w:pos="9781"/>
          </w:tabs>
          <w:rPr>
            <w:sz w:val="20"/>
            <w:szCs w:val="20"/>
          </w:rPr>
        </w:pPr>
        <w:r>
          <w:rPr>
            <w:sz w:val="20"/>
            <w:szCs w:val="20"/>
          </w:rPr>
          <w:t>10/06/2016</w:t>
        </w:r>
        <w:r w:rsidR="00870F6E">
          <w:rPr>
            <w:sz w:val="20"/>
            <w:szCs w:val="20"/>
          </w:rPr>
          <w:tab/>
        </w:r>
        <w:r w:rsidR="00F35138">
          <w:rPr>
            <w:sz w:val="20"/>
            <w:szCs w:val="20"/>
          </w:rPr>
          <w:tab/>
        </w:r>
        <w:r w:rsidR="00870F6E">
          <w:rPr>
            <w:sz w:val="20"/>
            <w:szCs w:val="20"/>
          </w:rPr>
          <w:tab/>
        </w:r>
        <w:r w:rsidR="0072202C" w:rsidRPr="00CD1D94">
          <w:rPr>
            <w:sz w:val="20"/>
            <w:szCs w:val="20"/>
          </w:rPr>
          <w:fldChar w:fldCharType="begin"/>
        </w:r>
        <w:r w:rsidR="00870F6E" w:rsidRPr="00CD1D94">
          <w:rPr>
            <w:sz w:val="20"/>
            <w:szCs w:val="20"/>
          </w:rPr>
          <w:instrText xml:space="preserve"> PAGE   \* MERGEFORMAT </w:instrText>
        </w:r>
        <w:r w:rsidR="0072202C" w:rsidRPr="00CD1D94">
          <w:rPr>
            <w:sz w:val="20"/>
            <w:szCs w:val="20"/>
          </w:rPr>
          <w:fldChar w:fldCharType="separate"/>
        </w:r>
        <w:r>
          <w:rPr>
            <w:noProof/>
            <w:sz w:val="20"/>
            <w:szCs w:val="20"/>
          </w:rPr>
          <w:t>2</w:t>
        </w:r>
        <w:r w:rsidR="0072202C" w:rsidRPr="00CD1D94">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9648"/>
      <w:docPartObj>
        <w:docPartGallery w:val="Page Numbers (Bottom of Page)"/>
        <w:docPartUnique/>
      </w:docPartObj>
    </w:sdtPr>
    <w:sdtContent>
      <w:p w:rsidR="00870F6E" w:rsidRDefault="0072202C">
        <w:pPr>
          <w:pStyle w:val="Footer"/>
          <w:jc w:val="right"/>
        </w:pPr>
        <w:r w:rsidRPr="00660BF6">
          <w:rPr>
            <w:sz w:val="20"/>
            <w:szCs w:val="20"/>
          </w:rPr>
          <w:fldChar w:fldCharType="begin"/>
        </w:r>
        <w:r w:rsidR="00870F6E" w:rsidRPr="00660BF6">
          <w:rPr>
            <w:sz w:val="20"/>
            <w:szCs w:val="20"/>
          </w:rPr>
          <w:instrText xml:space="preserve"> PAGE   \* MERGEFORMAT </w:instrText>
        </w:r>
        <w:r w:rsidRPr="00660BF6">
          <w:rPr>
            <w:sz w:val="20"/>
            <w:szCs w:val="20"/>
          </w:rPr>
          <w:fldChar w:fldCharType="separate"/>
        </w:r>
        <w:r w:rsidR="00660BF6">
          <w:rPr>
            <w:noProof/>
            <w:sz w:val="20"/>
            <w:szCs w:val="20"/>
          </w:rPr>
          <w:t>1</w:t>
        </w:r>
        <w:r w:rsidRPr="00660BF6">
          <w:rPr>
            <w:sz w:val="20"/>
            <w:szCs w:val="20"/>
          </w:rPr>
          <w:fldChar w:fldCharType="end"/>
        </w:r>
      </w:p>
    </w:sdtContent>
  </w:sdt>
  <w:p w:rsidR="00870F6E" w:rsidRDefault="00870F6E" w:rsidP="00FE5D66">
    <w:pPr>
      <w:pStyle w:val="MoE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F6E" w:rsidRDefault="00870F6E" w:rsidP="00882F80">
      <w:r>
        <w:separator/>
      </w:r>
    </w:p>
  </w:footnote>
  <w:footnote w:type="continuationSeparator" w:id="0">
    <w:p w:rsidR="00870F6E" w:rsidRDefault="00870F6E" w:rsidP="00882F80">
      <w:r>
        <w:continuationSeparator/>
      </w:r>
    </w:p>
  </w:footnote>
  <w:footnote w:id="1">
    <w:p w:rsidR="00870F6E" w:rsidRPr="00CA2853" w:rsidRDefault="00870F6E" w:rsidP="00BD31E5">
      <w:pPr>
        <w:pStyle w:val="FootnoteText"/>
        <w:rPr>
          <w:lang w:val="en-US"/>
        </w:rPr>
      </w:pPr>
      <w:r>
        <w:rPr>
          <w:rStyle w:val="FootnoteReference"/>
        </w:rPr>
        <w:footnoteRef/>
      </w:r>
      <w:r>
        <w:t xml:space="preserve"> </w:t>
      </w:r>
      <w:r>
        <w:rPr>
          <w:lang w:val="en-US"/>
        </w:rPr>
        <w:t>The term ‘decile’ is used for convenience in the rest of this paper to refer to EQI for the ECE sector as well as to school deciles.</w:t>
      </w:r>
    </w:p>
  </w:footnote>
  <w:footnote w:id="2">
    <w:p w:rsidR="00870F6E" w:rsidRPr="00480131" w:rsidRDefault="00870F6E" w:rsidP="005E0001">
      <w:pPr>
        <w:pStyle w:val="FootnoteText"/>
        <w:rPr>
          <w:lang w:val="en-US"/>
        </w:rPr>
      </w:pPr>
      <w:r>
        <w:rPr>
          <w:rStyle w:val="FootnoteReference"/>
        </w:rPr>
        <w:footnoteRef/>
      </w:r>
      <w:r>
        <w:t xml:space="preserve"> </w:t>
      </w:r>
      <w:r>
        <w:rPr>
          <w:lang w:val="en-US"/>
        </w:rPr>
        <w:t xml:space="preserve">Decile is also used as a proxy for the incidence of low-to-moderate special education needs for Equity </w:t>
      </w:r>
      <w:r w:rsidRPr="00480131">
        <w:rPr>
          <w:lang w:val="en-US"/>
        </w:rPr>
        <w:t xml:space="preserve">Funding Component </w:t>
      </w:r>
      <w:r>
        <w:rPr>
          <w:lang w:val="en-US"/>
        </w:rPr>
        <w:t>B for ECE services and the Special Education Grant for schools. As noted on page 1, if t</w:t>
      </w:r>
      <w:r w:rsidRPr="00503E65">
        <w:rPr>
          <w:lang w:val="en-US"/>
        </w:rPr>
        <w:t>he proposals in this paper are developed further</w:t>
      </w:r>
      <w:r>
        <w:rPr>
          <w:lang w:val="en-US"/>
        </w:rPr>
        <w:t>,</w:t>
      </w:r>
      <w:r w:rsidRPr="00503E65">
        <w:rPr>
          <w:lang w:val="en-US"/>
        </w:rPr>
        <w:t xml:space="preserve"> </w:t>
      </w:r>
      <w:r>
        <w:rPr>
          <w:lang w:val="en-US"/>
        </w:rPr>
        <w:t>the</w:t>
      </w:r>
      <w:r w:rsidRPr="00503E65">
        <w:rPr>
          <w:lang w:val="en-US"/>
        </w:rPr>
        <w:t xml:space="preserve"> flow-on implications for the</w:t>
      </w:r>
      <w:r>
        <w:rPr>
          <w:lang w:val="en-US"/>
        </w:rPr>
        <w:t>se</w:t>
      </w:r>
      <w:r w:rsidRPr="00503E65">
        <w:rPr>
          <w:lang w:val="en-US"/>
        </w:rPr>
        <w:t xml:space="preserve"> mechanisms </w:t>
      </w:r>
      <w:r>
        <w:rPr>
          <w:lang w:val="en-US"/>
        </w:rPr>
        <w:t>would need to be considered</w:t>
      </w:r>
      <w:r w:rsidRPr="00503E65">
        <w:rPr>
          <w:lang w:val="en-US"/>
        </w:rPr>
        <w:t>.</w:t>
      </w:r>
    </w:p>
  </w:footnote>
  <w:footnote w:id="3">
    <w:p w:rsidR="00870F6E" w:rsidRDefault="00870F6E" w:rsidP="005E0001">
      <w:pPr>
        <w:pStyle w:val="FootnoteText"/>
      </w:pPr>
      <w:r>
        <w:rPr>
          <w:rStyle w:val="FootnoteReference"/>
        </w:rPr>
        <w:footnoteRef/>
      </w:r>
      <w:r>
        <w:t xml:space="preserve"> While t</w:t>
      </w:r>
      <w:r w:rsidRPr="00E871B9">
        <w:t xml:space="preserve">here is a statistical association between the decile rating and standardised measures of achievement, it is an average association rather than a rule. Within each decile there is a wide range of achievement. In any case, </w:t>
      </w:r>
      <w:r>
        <w:t xml:space="preserve">this association primarily </w:t>
      </w:r>
      <w:r w:rsidRPr="00E871B9">
        <w:t xml:space="preserve">reflects socioeconomic obstacles to achievement rather </w:t>
      </w:r>
      <w:r>
        <w:t>than teaching quality</w:t>
      </w:r>
      <w:r w:rsidRPr="00E871B9">
        <w:t>.</w:t>
      </w:r>
    </w:p>
  </w:footnote>
  <w:footnote w:id="4">
    <w:p w:rsidR="00870F6E" w:rsidRPr="005714DD" w:rsidRDefault="00870F6E" w:rsidP="00EC6178">
      <w:pPr>
        <w:pStyle w:val="FootnoteText"/>
        <w:rPr>
          <w:lang w:val="en-US"/>
        </w:rPr>
      </w:pPr>
      <w:r>
        <w:rPr>
          <w:rStyle w:val="FootnoteReference"/>
        </w:rPr>
        <w:footnoteRef/>
      </w:r>
      <w:r>
        <w:t xml:space="preserve"> </w:t>
      </w:r>
      <w:proofErr w:type="gramStart"/>
      <w:r w:rsidRPr="0033060F">
        <w:rPr>
          <w:i/>
        </w:rPr>
        <w:t>Ibid</w:t>
      </w:r>
      <w:r>
        <w:t>.,</w:t>
      </w:r>
      <w:proofErr w:type="gramEnd"/>
      <w:r>
        <w:t xml:space="preserve"> and </w:t>
      </w:r>
      <w:r>
        <w:rPr>
          <w:lang w:val="en-US"/>
        </w:rPr>
        <w:t xml:space="preserve">Treasury, </w:t>
      </w:r>
      <w:r w:rsidRPr="005714DD">
        <w:rPr>
          <w:i/>
          <w:lang w:val="en-US"/>
        </w:rPr>
        <w:t>Social Investment Insights</w:t>
      </w:r>
      <w:r>
        <w:rPr>
          <w:lang w:val="en-US"/>
        </w:rPr>
        <w:t xml:space="preserve">, </w:t>
      </w:r>
      <w:hyperlink r:id="rId1" w:history="1">
        <w:r w:rsidRPr="00DD51EB">
          <w:rPr>
            <w:rStyle w:val="Hyperlink"/>
            <w:lang w:val="en-US"/>
          </w:rPr>
          <w:t>www.treasury.govt.nz/sii</w:t>
        </w:r>
      </w:hyperlink>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F6" w:rsidRPr="009812F2" w:rsidRDefault="00660BF6" w:rsidP="00660BF6">
    <w:pPr>
      <w:pStyle w:val="Header"/>
      <w:rPr>
        <w:b/>
        <w:sz w:val="18"/>
        <w:szCs w:val="18"/>
      </w:rPr>
    </w:pPr>
    <w:r>
      <w:rPr>
        <w:b/>
        <w:sz w:val="18"/>
        <w:szCs w:val="18"/>
      </w:rPr>
      <w:t xml:space="preserve">FOR ADVISORY GROUP USE ONLY                                                              </w:t>
    </w:r>
    <w:r w:rsidRPr="00B50D28">
      <w:rPr>
        <w:b/>
        <w:sz w:val="18"/>
        <w:szCs w:val="18"/>
      </w:rPr>
      <w:t xml:space="preserve"> </w:t>
    </w:r>
    <w:r>
      <w:rPr>
        <w:b/>
        <w:sz w:val="18"/>
        <w:szCs w:val="18"/>
      </w:rPr>
      <w:t xml:space="preserve">DRAFT </w:t>
    </w:r>
    <w:r w:rsidRPr="006F4809">
      <w:rPr>
        <w:b/>
        <w:sz w:val="18"/>
        <w:szCs w:val="18"/>
      </w:rPr>
      <w:t>– NOT GOVERNMENT POLICY</w:t>
    </w:r>
  </w:p>
  <w:p w:rsidR="003F2D20" w:rsidRPr="00660BF6" w:rsidRDefault="003F2D20" w:rsidP="00660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2">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4177CCC"/>
    <w:multiLevelType w:val="hybridMultilevel"/>
    <w:tmpl w:val="E4DC8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nsid w:val="26E56AFF"/>
    <w:multiLevelType w:val="hybridMultilevel"/>
    <w:tmpl w:val="013CD9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28A86B1E"/>
    <w:multiLevelType w:val="hybridMultilevel"/>
    <w:tmpl w:val="7A78B7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95718DA"/>
    <w:multiLevelType w:val="hybridMultilevel"/>
    <w:tmpl w:val="211A2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1A1272"/>
    <w:multiLevelType w:val="multilevel"/>
    <w:tmpl w:val="A3FA2BCA"/>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DE6E72"/>
    <w:multiLevelType w:val="hybridMultilevel"/>
    <w:tmpl w:val="AC106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DB47E49"/>
    <w:multiLevelType w:val="hybridMultilevel"/>
    <w:tmpl w:val="7F402C28"/>
    <w:lvl w:ilvl="0" w:tplc="19AE8A2E">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0F72F54"/>
    <w:multiLevelType w:val="hybridMultilevel"/>
    <w:tmpl w:val="18E0B9F4"/>
    <w:lvl w:ilvl="0" w:tplc="16F87B0C">
      <w:start w:val="1"/>
      <w:numFmt w:val="decimal"/>
      <w:lvlText w:val="%1."/>
      <w:lvlJc w:val="left"/>
      <w:pPr>
        <w:ind w:left="360" w:hanging="360"/>
      </w:pPr>
      <w:rPr>
        <w:rFonts w:hint="default"/>
        <w:b w:val="0"/>
        <w:i w:val="0"/>
      </w:rPr>
    </w:lvl>
    <w:lvl w:ilvl="1" w:tplc="1409001B">
      <w:start w:val="1"/>
      <w:numFmt w:val="lowerRoman"/>
      <w:lvlText w:val="%2."/>
      <w:lvlJc w:val="right"/>
      <w:pPr>
        <w:ind w:left="1080" w:hanging="360"/>
      </w:pPr>
      <w:rPr>
        <w:rFonts w:hint="default"/>
      </w:rPr>
    </w:lvl>
    <w:lvl w:ilvl="2" w:tplc="14090005" w:tentative="1">
      <w:start w:val="1"/>
      <w:numFmt w:val="lowerRoman"/>
      <w:lvlText w:val="%3."/>
      <w:lvlJc w:val="right"/>
      <w:pPr>
        <w:ind w:left="1800" w:hanging="180"/>
      </w:pPr>
    </w:lvl>
    <w:lvl w:ilvl="3" w:tplc="14090001" w:tentative="1">
      <w:start w:val="1"/>
      <w:numFmt w:val="decimal"/>
      <w:lvlText w:val="%4."/>
      <w:lvlJc w:val="left"/>
      <w:pPr>
        <w:ind w:left="2520" w:hanging="360"/>
      </w:pPr>
    </w:lvl>
    <w:lvl w:ilvl="4" w:tplc="14090003" w:tentative="1">
      <w:start w:val="1"/>
      <w:numFmt w:val="lowerLetter"/>
      <w:lvlText w:val="%5."/>
      <w:lvlJc w:val="left"/>
      <w:pPr>
        <w:ind w:left="3240" w:hanging="360"/>
      </w:pPr>
    </w:lvl>
    <w:lvl w:ilvl="5" w:tplc="14090005" w:tentative="1">
      <w:start w:val="1"/>
      <w:numFmt w:val="lowerRoman"/>
      <w:lvlText w:val="%6."/>
      <w:lvlJc w:val="right"/>
      <w:pPr>
        <w:ind w:left="3960" w:hanging="180"/>
      </w:pPr>
    </w:lvl>
    <w:lvl w:ilvl="6" w:tplc="14090001" w:tentative="1">
      <w:start w:val="1"/>
      <w:numFmt w:val="decimal"/>
      <w:lvlText w:val="%7."/>
      <w:lvlJc w:val="left"/>
      <w:pPr>
        <w:ind w:left="4680" w:hanging="360"/>
      </w:pPr>
    </w:lvl>
    <w:lvl w:ilvl="7" w:tplc="14090003" w:tentative="1">
      <w:start w:val="1"/>
      <w:numFmt w:val="lowerLetter"/>
      <w:lvlText w:val="%8."/>
      <w:lvlJc w:val="left"/>
      <w:pPr>
        <w:ind w:left="5400" w:hanging="360"/>
      </w:pPr>
    </w:lvl>
    <w:lvl w:ilvl="8" w:tplc="14090005" w:tentative="1">
      <w:start w:val="1"/>
      <w:numFmt w:val="lowerRoman"/>
      <w:lvlText w:val="%9."/>
      <w:lvlJc w:val="right"/>
      <w:pPr>
        <w:ind w:left="6120" w:hanging="180"/>
      </w:pPr>
    </w:lvl>
  </w:abstractNum>
  <w:abstractNum w:abstractNumId="12">
    <w:nsid w:val="394E1516"/>
    <w:multiLevelType w:val="hybridMultilevel"/>
    <w:tmpl w:val="3F74A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9D13A03"/>
    <w:multiLevelType w:val="hybridMultilevel"/>
    <w:tmpl w:val="92C06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B8F22EC"/>
    <w:multiLevelType w:val="hybridMultilevel"/>
    <w:tmpl w:val="FEFCAC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40345E62"/>
    <w:multiLevelType w:val="hybridMultilevel"/>
    <w:tmpl w:val="2C00474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nsid w:val="40605473"/>
    <w:multiLevelType w:val="multilevel"/>
    <w:tmpl w:val="D464AF92"/>
    <w:lvl w:ilvl="0">
      <w:start w:val="1"/>
      <w:numFmt w:val="bullet"/>
      <w:pStyle w:val="Bullet1"/>
      <w:lvlText w:val=""/>
      <w:lvlJc w:val="left"/>
      <w:pPr>
        <w:tabs>
          <w:tab w:val="num" w:pos="284"/>
        </w:tabs>
        <w:ind w:left="284" w:hanging="284"/>
      </w:pPr>
      <w:rPr>
        <w:rFonts w:ascii="Symbol" w:hAnsi="Symbol" w:hint="default"/>
      </w:rPr>
    </w:lvl>
    <w:lvl w:ilvl="1">
      <w:start w:val="1"/>
      <w:numFmt w:val="bullet"/>
      <w:lvlRestart w:val="0"/>
      <w:pStyle w:val="Bullet1"/>
      <w:lvlText w:val=""/>
      <w:lvlJc w:val="left"/>
      <w:pPr>
        <w:tabs>
          <w:tab w:val="num" w:pos="567"/>
        </w:tabs>
        <w:ind w:left="567" w:hanging="283"/>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2126075"/>
    <w:multiLevelType w:val="hybridMultilevel"/>
    <w:tmpl w:val="43C2CAB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8">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4A364DEA"/>
    <w:multiLevelType w:val="hybridMultilevel"/>
    <w:tmpl w:val="AA54D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B9B50E0"/>
    <w:multiLevelType w:val="hybridMultilevel"/>
    <w:tmpl w:val="B9A20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D3951C4"/>
    <w:multiLevelType w:val="hybridMultilevel"/>
    <w:tmpl w:val="34CE0D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D9E5991"/>
    <w:multiLevelType w:val="hybridMultilevel"/>
    <w:tmpl w:val="AD4CD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F181E8B"/>
    <w:multiLevelType w:val="hybridMultilevel"/>
    <w:tmpl w:val="E8080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9663B7"/>
    <w:multiLevelType w:val="hybridMultilevel"/>
    <w:tmpl w:val="588ED4AC"/>
    <w:lvl w:ilvl="0" w:tplc="F6781B0A">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C9276D"/>
    <w:multiLevelType w:val="hybridMultilevel"/>
    <w:tmpl w:val="298E7BAC"/>
    <w:lvl w:ilvl="0" w:tplc="17CC4564">
      <w:start w:val="1"/>
      <w:numFmt w:val="bullet"/>
      <w:pStyle w:val="MoEBulletedListLevel1"/>
      <w:lvlText w:val="»"/>
      <w:lvlJc w:val="left"/>
      <w:pPr>
        <w:ind w:left="1740" w:hanging="360"/>
      </w:pPr>
      <w:rPr>
        <w:rFonts w:ascii="Arial" w:hAnsi="Arial" w:hint="default"/>
      </w:rPr>
    </w:lvl>
    <w:lvl w:ilvl="1" w:tplc="14090003">
      <w:start w:val="1"/>
      <w:numFmt w:val="bullet"/>
      <w:lvlText w:val="o"/>
      <w:lvlJc w:val="left"/>
      <w:pPr>
        <w:ind w:left="2460" w:hanging="360"/>
      </w:pPr>
      <w:rPr>
        <w:rFonts w:ascii="Courier New" w:hAnsi="Courier New" w:cs="Courier New" w:hint="default"/>
      </w:rPr>
    </w:lvl>
    <w:lvl w:ilvl="2" w:tplc="14090005" w:tentative="1">
      <w:start w:val="1"/>
      <w:numFmt w:val="bullet"/>
      <w:lvlText w:val=""/>
      <w:lvlJc w:val="left"/>
      <w:pPr>
        <w:ind w:left="3180" w:hanging="360"/>
      </w:pPr>
      <w:rPr>
        <w:rFonts w:ascii="Wingdings" w:hAnsi="Wingdings" w:hint="default"/>
      </w:rPr>
    </w:lvl>
    <w:lvl w:ilvl="3" w:tplc="14090001" w:tentative="1">
      <w:start w:val="1"/>
      <w:numFmt w:val="bullet"/>
      <w:lvlText w:val=""/>
      <w:lvlJc w:val="left"/>
      <w:pPr>
        <w:ind w:left="3900" w:hanging="360"/>
      </w:pPr>
      <w:rPr>
        <w:rFonts w:ascii="Symbol" w:hAnsi="Symbol" w:hint="default"/>
      </w:rPr>
    </w:lvl>
    <w:lvl w:ilvl="4" w:tplc="14090003" w:tentative="1">
      <w:start w:val="1"/>
      <w:numFmt w:val="bullet"/>
      <w:lvlText w:val="o"/>
      <w:lvlJc w:val="left"/>
      <w:pPr>
        <w:ind w:left="4620" w:hanging="360"/>
      </w:pPr>
      <w:rPr>
        <w:rFonts w:ascii="Courier New" w:hAnsi="Courier New" w:cs="Courier New" w:hint="default"/>
      </w:rPr>
    </w:lvl>
    <w:lvl w:ilvl="5" w:tplc="14090005" w:tentative="1">
      <w:start w:val="1"/>
      <w:numFmt w:val="bullet"/>
      <w:lvlText w:val=""/>
      <w:lvlJc w:val="left"/>
      <w:pPr>
        <w:ind w:left="5340" w:hanging="360"/>
      </w:pPr>
      <w:rPr>
        <w:rFonts w:ascii="Wingdings" w:hAnsi="Wingdings" w:hint="default"/>
      </w:rPr>
    </w:lvl>
    <w:lvl w:ilvl="6" w:tplc="14090001" w:tentative="1">
      <w:start w:val="1"/>
      <w:numFmt w:val="bullet"/>
      <w:lvlText w:val=""/>
      <w:lvlJc w:val="left"/>
      <w:pPr>
        <w:ind w:left="6060" w:hanging="360"/>
      </w:pPr>
      <w:rPr>
        <w:rFonts w:ascii="Symbol" w:hAnsi="Symbol" w:hint="default"/>
      </w:rPr>
    </w:lvl>
    <w:lvl w:ilvl="7" w:tplc="14090003" w:tentative="1">
      <w:start w:val="1"/>
      <w:numFmt w:val="bullet"/>
      <w:lvlText w:val="o"/>
      <w:lvlJc w:val="left"/>
      <w:pPr>
        <w:ind w:left="6780" w:hanging="360"/>
      </w:pPr>
      <w:rPr>
        <w:rFonts w:ascii="Courier New" w:hAnsi="Courier New" w:cs="Courier New" w:hint="default"/>
      </w:rPr>
    </w:lvl>
    <w:lvl w:ilvl="8" w:tplc="14090005" w:tentative="1">
      <w:start w:val="1"/>
      <w:numFmt w:val="bullet"/>
      <w:lvlText w:val=""/>
      <w:lvlJc w:val="left"/>
      <w:pPr>
        <w:ind w:left="7500" w:hanging="360"/>
      </w:pPr>
      <w:rPr>
        <w:rFonts w:ascii="Wingdings" w:hAnsi="Wingdings" w:hint="default"/>
      </w:rPr>
    </w:lvl>
  </w:abstractNum>
  <w:abstractNum w:abstractNumId="26">
    <w:nsid w:val="6BBB25D5"/>
    <w:multiLevelType w:val="hybridMultilevel"/>
    <w:tmpl w:val="1E062C30"/>
    <w:lvl w:ilvl="0" w:tplc="1409000F">
      <w:start w:val="1"/>
      <w:numFmt w:val="decimal"/>
      <w:lvlText w:val="%1."/>
      <w:lvlJc w:val="left"/>
      <w:pPr>
        <w:tabs>
          <w:tab w:val="num" w:pos="502"/>
        </w:tabs>
        <w:ind w:left="502" w:hanging="360"/>
      </w:pPr>
      <w:rPr>
        <w:rFonts w:hint="default"/>
        <w:b w:val="0"/>
        <w:i w:val="0"/>
      </w:rPr>
    </w:lvl>
    <w:lvl w:ilvl="1" w:tplc="14090019">
      <w:start w:val="1"/>
      <w:numFmt w:val="lowerLetter"/>
      <w:lvlText w:val="%2."/>
      <w:lvlJc w:val="left"/>
      <w:pPr>
        <w:tabs>
          <w:tab w:val="num" w:pos="2010"/>
        </w:tabs>
        <w:ind w:left="2010" w:hanging="360"/>
      </w:pPr>
      <w:rPr>
        <w:rFonts w:cs="Times New Roman"/>
      </w:rPr>
    </w:lvl>
    <w:lvl w:ilvl="2" w:tplc="1409001B" w:tentative="1">
      <w:start w:val="1"/>
      <w:numFmt w:val="lowerRoman"/>
      <w:lvlText w:val="%3."/>
      <w:lvlJc w:val="right"/>
      <w:pPr>
        <w:tabs>
          <w:tab w:val="num" w:pos="2730"/>
        </w:tabs>
        <w:ind w:left="2730" w:hanging="180"/>
      </w:pPr>
      <w:rPr>
        <w:rFonts w:cs="Times New Roman"/>
      </w:rPr>
    </w:lvl>
    <w:lvl w:ilvl="3" w:tplc="1409000F" w:tentative="1">
      <w:start w:val="1"/>
      <w:numFmt w:val="decimal"/>
      <w:lvlText w:val="%4."/>
      <w:lvlJc w:val="left"/>
      <w:pPr>
        <w:tabs>
          <w:tab w:val="num" w:pos="3450"/>
        </w:tabs>
        <w:ind w:left="3450" w:hanging="360"/>
      </w:pPr>
      <w:rPr>
        <w:rFonts w:cs="Times New Roman"/>
      </w:rPr>
    </w:lvl>
    <w:lvl w:ilvl="4" w:tplc="14090019" w:tentative="1">
      <w:start w:val="1"/>
      <w:numFmt w:val="lowerLetter"/>
      <w:lvlText w:val="%5."/>
      <w:lvlJc w:val="left"/>
      <w:pPr>
        <w:tabs>
          <w:tab w:val="num" w:pos="4170"/>
        </w:tabs>
        <w:ind w:left="4170" w:hanging="360"/>
      </w:pPr>
      <w:rPr>
        <w:rFonts w:cs="Times New Roman"/>
      </w:rPr>
    </w:lvl>
    <w:lvl w:ilvl="5" w:tplc="1409001B" w:tentative="1">
      <w:start w:val="1"/>
      <w:numFmt w:val="lowerRoman"/>
      <w:lvlText w:val="%6."/>
      <w:lvlJc w:val="right"/>
      <w:pPr>
        <w:tabs>
          <w:tab w:val="num" w:pos="4890"/>
        </w:tabs>
        <w:ind w:left="4890" w:hanging="180"/>
      </w:pPr>
      <w:rPr>
        <w:rFonts w:cs="Times New Roman"/>
      </w:rPr>
    </w:lvl>
    <w:lvl w:ilvl="6" w:tplc="1409000F" w:tentative="1">
      <w:start w:val="1"/>
      <w:numFmt w:val="decimal"/>
      <w:lvlText w:val="%7."/>
      <w:lvlJc w:val="left"/>
      <w:pPr>
        <w:tabs>
          <w:tab w:val="num" w:pos="5610"/>
        </w:tabs>
        <w:ind w:left="5610" w:hanging="360"/>
      </w:pPr>
      <w:rPr>
        <w:rFonts w:cs="Times New Roman"/>
      </w:rPr>
    </w:lvl>
    <w:lvl w:ilvl="7" w:tplc="14090019" w:tentative="1">
      <w:start w:val="1"/>
      <w:numFmt w:val="lowerLetter"/>
      <w:lvlText w:val="%8."/>
      <w:lvlJc w:val="left"/>
      <w:pPr>
        <w:tabs>
          <w:tab w:val="num" w:pos="6330"/>
        </w:tabs>
        <w:ind w:left="6330" w:hanging="360"/>
      </w:pPr>
      <w:rPr>
        <w:rFonts w:cs="Times New Roman"/>
      </w:rPr>
    </w:lvl>
    <w:lvl w:ilvl="8" w:tplc="1409001B" w:tentative="1">
      <w:start w:val="1"/>
      <w:numFmt w:val="lowerRoman"/>
      <w:lvlText w:val="%9."/>
      <w:lvlJc w:val="right"/>
      <w:pPr>
        <w:tabs>
          <w:tab w:val="num" w:pos="7050"/>
        </w:tabs>
        <w:ind w:left="7050" w:hanging="180"/>
      </w:pPr>
      <w:rPr>
        <w:rFonts w:cs="Times New Roman"/>
      </w:rPr>
    </w:lvl>
  </w:abstractNum>
  <w:abstractNum w:abstractNumId="27">
    <w:nsid w:val="7CA04EFD"/>
    <w:multiLevelType w:val="hybridMultilevel"/>
    <w:tmpl w:val="243C9952"/>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0"/>
  </w:num>
  <w:num w:numId="4">
    <w:abstractNumId w:val="4"/>
  </w:num>
  <w:num w:numId="5">
    <w:abstractNumId w:val="10"/>
  </w:num>
  <w:num w:numId="6">
    <w:abstractNumId w:val="1"/>
  </w:num>
  <w:num w:numId="7">
    <w:abstractNumId w:val="18"/>
  </w:num>
  <w:num w:numId="8">
    <w:abstractNumId w:val="16"/>
  </w:num>
  <w:num w:numId="9">
    <w:abstractNumId w:val="24"/>
  </w:num>
  <w:num w:numId="10">
    <w:abstractNumId w:val="11"/>
  </w:num>
  <w:num w:numId="11">
    <w:abstractNumId w:val="26"/>
  </w:num>
  <w:num w:numId="12">
    <w:abstractNumId w:val="27"/>
  </w:num>
  <w:num w:numId="13">
    <w:abstractNumId w:val="9"/>
  </w:num>
  <w:num w:numId="14">
    <w:abstractNumId w:val="21"/>
  </w:num>
  <w:num w:numId="15">
    <w:abstractNumId w:val="5"/>
  </w:num>
  <w:num w:numId="16">
    <w:abstractNumId w:val="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14"/>
  </w:num>
  <w:num w:numId="22">
    <w:abstractNumId w:val="22"/>
  </w:num>
  <w:num w:numId="23">
    <w:abstractNumId w:val="6"/>
  </w:num>
  <w:num w:numId="24">
    <w:abstractNumId w:val="23"/>
  </w:num>
  <w:num w:numId="25">
    <w:abstractNumId w:val="3"/>
  </w:num>
  <w:num w:numId="26">
    <w:abstractNumId w:val="13"/>
  </w:num>
  <w:num w:numId="27">
    <w:abstractNumId w:val="15"/>
  </w:num>
  <w:num w:numId="2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rsids>
    <w:rsidRoot w:val="00C939EB"/>
    <w:rsid w:val="00000572"/>
    <w:rsid w:val="0000098E"/>
    <w:rsid w:val="00001529"/>
    <w:rsid w:val="00002101"/>
    <w:rsid w:val="000025B5"/>
    <w:rsid w:val="00002B1B"/>
    <w:rsid w:val="00006FB5"/>
    <w:rsid w:val="00010F76"/>
    <w:rsid w:val="00011B45"/>
    <w:rsid w:val="0001209B"/>
    <w:rsid w:val="0001223F"/>
    <w:rsid w:val="000135D9"/>
    <w:rsid w:val="00013E7E"/>
    <w:rsid w:val="00014662"/>
    <w:rsid w:val="00017633"/>
    <w:rsid w:val="00017AB1"/>
    <w:rsid w:val="00020380"/>
    <w:rsid w:val="00020C4E"/>
    <w:rsid w:val="00021227"/>
    <w:rsid w:val="00021E56"/>
    <w:rsid w:val="00021F35"/>
    <w:rsid w:val="0002258F"/>
    <w:rsid w:val="00022DF4"/>
    <w:rsid w:val="00023141"/>
    <w:rsid w:val="00023D70"/>
    <w:rsid w:val="00025246"/>
    <w:rsid w:val="00031CC1"/>
    <w:rsid w:val="00033067"/>
    <w:rsid w:val="0003476C"/>
    <w:rsid w:val="00035170"/>
    <w:rsid w:val="00037FCF"/>
    <w:rsid w:val="00040085"/>
    <w:rsid w:val="00041CDC"/>
    <w:rsid w:val="00043630"/>
    <w:rsid w:val="00045BF4"/>
    <w:rsid w:val="00047FDD"/>
    <w:rsid w:val="0005261D"/>
    <w:rsid w:val="000534C1"/>
    <w:rsid w:val="00053955"/>
    <w:rsid w:val="00055B5B"/>
    <w:rsid w:val="00055DDF"/>
    <w:rsid w:val="00056C5E"/>
    <w:rsid w:val="00060B3D"/>
    <w:rsid w:val="000613F0"/>
    <w:rsid w:val="00062555"/>
    <w:rsid w:val="00066032"/>
    <w:rsid w:val="00066905"/>
    <w:rsid w:val="00066CD4"/>
    <w:rsid w:val="00067264"/>
    <w:rsid w:val="000727B5"/>
    <w:rsid w:val="000730BE"/>
    <w:rsid w:val="000738A2"/>
    <w:rsid w:val="000747C1"/>
    <w:rsid w:val="000755D2"/>
    <w:rsid w:val="00075EE2"/>
    <w:rsid w:val="0007677D"/>
    <w:rsid w:val="00076FD1"/>
    <w:rsid w:val="00077044"/>
    <w:rsid w:val="0007745B"/>
    <w:rsid w:val="00080FE4"/>
    <w:rsid w:val="00081F39"/>
    <w:rsid w:val="00081FCD"/>
    <w:rsid w:val="000842DA"/>
    <w:rsid w:val="0008637A"/>
    <w:rsid w:val="000900B6"/>
    <w:rsid w:val="000901AB"/>
    <w:rsid w:val="000916D5"/>
    <w:rsid w:val="00092502"/>
    <w:rsid w:val="00094571"/>
    <w:rsid w:val="000968C4"/>
    <w:rsid w:val="00096EB8"/>
    <w:rsid w:val="000A2233"/>
    <w:rsid w:val="000A48E6"/>
    <w:rsid w:val="000A5A25"/>
    <w:rsid w:val="000A5CBF"/>
    <w:rsid w:val="000A77F7"/>
    <w:rsid w:val="000B1EB1"/>
    <w:rsid w:val="000B2418"/>
    <w:rsid w:val="000B391A"/>
    <w:rsid w:val="000B448A"/>
    <w:rsid w:val="000B5358"/>
    <w:rsid w:val="000B6A84"/>
    <w:rsid w:val="000C02B2"/>
    <w:rsid w:val="000C09B4"/>
    <w:rsid w:val="000C271C"/>
    <w:rsid w:val="000C4EE7"/>
    <w:rsid w:val="000D018F"/>
    <w:rsid w:val="000D0FF2"/>
    <w:rsid w:val="000D12FA"/>
    <w:rsid w:val="000D1581"/>
    <w:rsid w:val="000D3040"/>
    <w:rsid w:val="000D3D77"/>
    <w:rsid w:val="000D464B"/>
    <w:rsid w:val="000D62D7"/>
    <w:rsid w:val="000D7685"/>
    <w:rsid w:val="000E04F9"/>
    <w:rsid w:val="000E0578"/>
    <w:rsid w:val="000E339E"/>
    <w:rsid w:val="000E377A"/>
    <w:rsid w:val="000E60B0"/>
    <w:rsid w:val="000F0A82"/>
    <w:rsid w:val="000F0E10"/>
    <w:rsid w:val="000F2826"/>
    <w:rsid w:val="000F5A50"/>
    <w:rsid w:val="000F6B75"/>
    <w:rsid w:val="000F7047"/>
    <w:rsid w:val="000F79CC"/>
    <w:rsid w:val="00102A5A"/>
    <w:rsid w:val="001039FD"/>
    <w:rsid w:val="001054B1"/>
    <w:rsid w:val="00106C3A"/>
    <w:rsid w:val="00107BDB"/>
    <w:rsid w:val="00110BE7"/>
    <w:rsid w:val="001111D4"/>
    <w:rsid w:val="00113D2A"/>
    <w:rsid w:val="0011542A"/>
    <w:rsid w:val="00116556"/>
    <w:rsid w:val="0012198C"/>
    <w:rsid w:val="001233B0"/>
    <w:rsid w:val="00125713"/>
    <w:rsid w:val="0012716B"/>
    <w:rsid w:val="001273D8"/>
    <w:rsid w:val="00127849"/>
    <w:rsid w:val="001304CA"/>
    <w:rsid w:val="00132720"/>
    <w:rsid w:val="00132CF7"/>
    <w:rsid w:val="00136CE1"/>
    <w:rsid w:val="00137B80"/>
    <w:rsid w:val="00141E24"/>
    <w:rsid w:val="00143F8C"/>
    <w:rsid w:val="001450AD"/>
    <w:rsid w:val="00145E4B"/>
    <w:rsid w:val="00146E4B"/>
    <w:rsid w:val="00150D0D"/>
    <w:rsid w:val="00151E1A"/>
    <w:rsid w:val="001520E0"/>
    <w:rsid w:val="001532C9"/>
    <w:rsid w:val="00153E1D"/>
    <w:rsid w:val="00154F84"/>
    <w:rsid w:val="0015630A"/>
    <w:rsid w:val="001578CC"/>
    <w:rsid w:val="00161D45"/>
    <w:rsid w:val="0016205D"/>
    <w:rsid w:val="001626E1"/>
    <w:rsid w:val="00163132"/>
    <w:rsid w:val="00165C80"/>
    <w:rsid w:val="00166616"/>
    <w:rsid w:val="0017050F"/>
    <w:rsid w:val="001705D8"/>
    <w:rsid w:val="001708DA"/>
    <w:rsid w:val="00172FD4"/>
    <w:rsid w:val="00173C5F"/>
    <w:rsid w:val="001766A3"/>
    <w:rsid w:val="00180484"/>
    <w:rsid w:val="00180790"/>
    <w:rsid w:val="00181150"/>
    <w:rsid w:val="0018305B"/>
    <w:rsid w:val="00185788"/>
    <w:rsid w:val="0018600E"/>
    <w:rsid w:val="001868BE"/>
    <w:rsid w:val="00187D47"/>
    <w:rsid w:val="00191772"/>
    <w:rsid w:val="00192594"/>
    <w:rsid w:val="00195761"/>
    <w:rsid w:val="00197BEE"/>
    <w:rsid w:val="001A08A1"/>
    <w:rsid w:val="001A1307"/>
    <w:rsid w:val="001A1F7E"/>
    <w:rsid w:val="001A21CB"/>
    <w:rsid w:val="001A3ACB"/>
    <w:rsid w:val="001A410E"/>
    <w:rsid w:val="001A594F"/>
    <w:rsid w:val="001A79B2"/>
    <w:rsid w:val="001B275C"/>
    <w:rsid w:val="001B60F4"/>
    <w:rsid w:val="001B6D50"/>
    <w:rsid w:val="001B7142"/>
    <w:rsid w:val="001B73DA"/>
    <w:rsid w:val="001B7A92"/>
    <w:rsid w:val="001B7C3B"/>
    <w:rsid w:val="001C35E7"/>
    <w:rsid w:val="001C3DB7"/>
    <w:rsid w:val="001C420A"/>
    <w:rsid w:val="001C5053"/>
    <w:rsid w:val="001C5345"/>
    <w:rsid w:val="001C53B8"/>
    <w:rsid w:val="001C658D"/>
    <w:rsid w:val="001C7082"/>
    <w:rsid w:val="001D02A5"/>
    <w:rsid w:val="001D090B"/>
    <w:rsid w:val="001D0FD1"/>
    <w:rsid w:val="001D1477"/>
    <w:rsid w:val="001D2F5C"/>
    <w:rsid w:val="001D54AD"/>
    <w:rsid w:val="001D57FF"/>
    <w:rsid w:val="001D6CCE"/>
    <w:rsid w:val="001D7B25"/>
    <w:rsid w:val="001E174E"/>
    <w:rsid w:val="001E24BC"/>
    <w:rsid w:val="001E2834"/>
    <w:rsid w:val="001E2CDC"/>
    <w:rsid w:val="001E677E"/>
    <w:rsid w:val="001E7BE5"/>
    <w:rsid w:val="001E7E27"/>
    <w:rsid w:val="001F0D11"/>
    <w:rsid w:val="001F2B79"/>
    <w:rsid w:val="001F4EE4"/>
    <w:rsid w:val="001F6B64"/>
    <w:rsid w:val="001F6C83"/>
    <w:rsid w:val="001F6DE7"/>
    <w:rsid w:val="001F767C"/>
    <w:rsid w:val="001F7C54"/>
    <w:rsid w:val="002012F1"/>
    <w:rsid w:val="0020144A"/>
    <w:rsid w:val="002021FB"/>
    <w:rsid w:val="00202775"/>
    <w:rsid w:val="00203CBB"/>
    <w:rsid w:val="00204C8A"/>
    <w:rsid w:val="00206841"/>
    <w:rsid w:val="002070F4"/>
    <w:rsid w:val="00207347"/>
    <w:rsid w:val="00207B4D"/>
    <w:rsid w:val="00211870"/>
    <w:rsid w:val="00212372"/>
    <w:rsid w:val="0021649E"/>
    <w:rsid w:val="002168CE"/>
    <w:rsid w:val="002201F1"/>
    <w:rsid w:val="0022088B"/>
    <w:rsid w:val="00220C12"/>
    <w:rsid w:val="00220EA9"/>
    <w:rsid w:val="0022126F"/>
    <w:rsid w:val="0022145E"/>
    <w:rsid w:val="002222D0"/>
    <w:rsid w:val="00226773"/>
    <w:rsid w:val="00226D67"/>
    <w:rsid w:val="002277C4"/>
    <w:rsid w:val="002315A4"/>
    <w:rsid w:val="0023171C"/>
    <w:rsid w:val="00231ADE"/>
    <w:rsid w:val="00231BA3"/>
    <w:rsid w:val="0023445D"/>
    <w:rsid w:val="00235D9F"/>
    <w:rsid w:val="0024578E"/>
    <w:rsid w:val="00245FC3"/>
    <w:rsid w:val="00247CAC"/>
    <w:rsid w:val="00250E9C"/>
    <w:rsid w:val="002514D6"/>
    <w:rsid w:val="0025172C"/>
    <w:rsid w:val="00253D05"/>
    <w:rsid w:val="002548D3"/>
    <w:rsid w:val="002608F4"/>
    <w:rsid w:val="0026187F"/>
    <w:rsid w:val="002627CE"/>
    <w:rsid w:val="00263C14"/>
    <w:rsid w:val="002665BA"/>
    <w:rsid w:val="002678CD"/>
    <w:rsid w:val="00267C9B"/>
    <w:rsid w:val="00272136"/>
    <w:rsid w:val="00273493"/>
    <w:rsid w:val="00274993"/>
    <w:rsid w:val="00275844"/>
    <w:rsid w:val="00276536"/>
    <w:rsid w:val="00276A2C"/>
    <w:rsid w:val="00277528"/>
    <w:rsid w:val="002817CC"/>
    <w:rsid w:val="0028286C"/>
    <w:rsid w:val="00283AE3"/>
    <w:rsid w:val="00283B36"/>
    <w:rsid w:val="00286F82"/>
    <w:rsid w:val="00287151"/>
    <w:rsid w:val="00287966"/>
    <w:rsid w:val="00290401"/>
    <w:rsid w:val="00290F1B"/>
    <w:rsid w:val="00291D66"/>
    <w:rsid w:val="0029437A"/>
    <w:rsid w:val="00295E07"/>
    <w:rsid w:val="00296AB3"/>
    <w:rsid w:val="002A000E"/>
    <w:rsid w:val="002A063F"/>
    <w:rsid w:val="002A149E"/>
    <w:rsid w:val="002A4EE5"/>
    <w:rsid w:val="002A5927"/>
    <w:rsid w:val="002A71A7"/>
    <w:rsid w:val="002A76B4"/>
    <w:rsid w:val="002B10FC"/>
    <w:rsid w:val="002B6D9C"/>
    <w:rsid w:val="002B711D"/>
    <w:rsid w:val="002B78B8"/>
    <w:rsid w:val="002B7975"/>
    <w:rsid w:val="002C02F3"/>
    <w:rsid w:val="002C07E3"/>
    <w:rsid w:val="002C0E9E"/>
    <w:rsid w:val="002C17A8"/>
    <w:rsid w:val="002C2372"/>
    <w:rsid w:val="002C2432"/>
    <w:rsid w:val="002C247F"/>
    <w:rsid w:val="002C24E3"/>
    <w:rsid w:val="002C27AE"/>
    <w:rsid w:val="002C2820"/>
    <w:rsid w:val="002C55A9"/>
    <w:rsid w:val="002C6CBA"/>
    <w:rsid w:val="002D1C49"/>
    <w:rsid w:val="002D3AAB"/>
    <w:rsid w:val="002D57B7"/>
    <w:rsid w:val="002D62A8"/>
    <w:rsid w:val="002D74B9"/>
    <w:rsid w:val="002E079D"/>
    <w:rsid w:val="002E0FD1"/>
    <w:rsid w:val="002E12C3"/>
    <w:rsid w:val="002E1646"/>
    <w:rsid w:val="002E22A2"/>
    <w:rsid w:val="002E2C0D"/>
    <w:rsid w:val="002E35BB"/>
    <w:rsid w:val="002E391A"/>
    <w:rsid w:val="002E4A2A"/>
    <w:rsid w:val="002E56EF"/>
    <w:rsid w:val="002E71A2"/>
    <w:rsid w:val="002E7CAB"/>
    <w:rsid w:val="002F0A6A"/>
    <w:rsid w:val="002F1C45"/>
    <w:rsid w:val="002F24F9"/>
    <w:rsid w:val="002F448C"/>
    <w:rsid w:val="002F4A92"/>
    <w:rsid w:val="002F6915"/>
    <w:rsid w:val="002F7BC2"/>
    <w:rsid w:val="0030053A"/>
    <w:rsid w:val="0030060F"/>
    <w:rsid w:val="00300976"/>
    <w:rsid w:val="00301455"/>
    <w:rsid w:val="00301557"/>
    <w:rsid w:val="0030304E"/>
    <w:rsid w:val="0030341E"/>
    <w:rsid w:val="003047CF"/>
    <w:rsid w:val="003078FF"/>
    <w:rsid w:val="0030792B"/>
    <w:rsid w:val="00307B73"/>
    <w:rsid w:val="00313E5C"/>
    <w:rsid w:val="003142DD"/>
    <w:rsid w:val="003143A6"/>
    <w:rsid w:val="0031589C"/>
    <w:rsid w:val="00316FB7"/>
    <w:rsid w:val="00317D41"/>
    <w:rsid w:val="003255D8"/>
    <w:rsid w:val="00325911"/>
    <w:rsid w:val="00327AA1"/>
    <w:rsid w:val="00330021"/>
    <w:rsid w:val="0033060F"/>
    <w:rsid w:val="003308E3"/>
    <w:rsid w:val="00331309"/>
    <w:rsid w:val="0033244F"/>
    <w:rsid w:val="003333A1"/>
    <w:rsid w:val="00333A26"/>
    <w:rsid w:val="00334892"/>
    <w:rsid w:val="00334C7E"/>
    <w:rsid w:val="00334F6C"/>
    <w:rsid w:val="003350E2"/>
    <w:rsid w:val="003352F5"/>
    <w:rsid w:val="00340A83"/>
    <w:rsid w:val="00340E7E"/>
    <w:rsid w:val="0034262C"/>
    <w:rsid w:val="00342737"/>
    <w:rsid w:val="00342752"/>
    <w:rsid w:val="00342CFC"/>
    <w:rsid w:val="003439DB"/>
    <w:rsid w:val="00343BA9"/>
    <w:rsid w:val="00343E4D"/>
    <w:rsid w:val="003442F1"/>
    <w:rsid w:val="0034538B"/>
    <w:rsid w:val="00347BEE"/>
    <w:rsid w:val="00350D51"/>
    <w:rsid w:val="00351EDC"/>
    <w:rsid w:val="00353333"/>
    <w:rsid w:val="00353602"/>
    <w:rsid w:val="00353AD8"/>
    <w:rsid w:val="00355959"/>
    <w:rsid w:val="003579A6"/>
    <w:rsid w:val="003611FB"/>
    <w:rsid w:val="00361439"/>
    <w:rsid w:val="0036169F"/>
    <w:rsid w:val="00361CF4"/>
    <w:rsid w:val="00361D69"/>
    <w:rsid w:val="00363116"/>
    <w:rsid w:val="00363DB3"/>
    <w:rsid w:val="003643A8"/>
    <w:rsid w:val="0036722E"/>
    <w:rsid w:val="0036780A"/>
    <w:rsid w:val="00367B0B"/>
    <w:rsid w:val="00367D35"/>
    <w:rsid w:val="00370D0B"/>
    <w:rsid w:val="00373641"/>
    <w:rsid w:val="00374068"/>
    <w:rsid w:val="003768FB"/>
    <w:rsid w:val="003774B6"/>
    <w:rsid w:val="00382F69"/>
    <w:rsid w:val="003875C8"/>
    <w:rsid w:val="003877A6"/>
    <w:rsid w:val="00390BE7"/>
    <w:rsid w:val="00390C2C"/>
    <w:rsid w:val="00391D05"/>
    <w:rsid w:val="00396AA9"/>
    <w:rsid w:val="00397ACE"/>
    <w:rsid w:val="003A1309"/>
    <w:rsid w:val="003A2322"/>
    <w:rsid w:val="003A373E"/>
    <w:rsid w:val="003A451D"/>
    <w:rsid w:val="003A6D49"/>
    <w:rsid w:val="003A6E81"/>
    <w:rsid w:val="003A7368"/>
    <w:rsid w:val="003B0741"/>
    <w:rsid w:val="003B09D3"/>
    <w:rsid w:val="003B25C6"/>
    <w:rsid w:val="003B276C"/>
    <w:rsid w:val="003B62A4"/>
    <w:rsid w:val="003B633E"/>
    <w:rsid w:val="003C1C72"/>
    <w:rsid w:val="003C3A21"/>
    <w:rsid w:val="003C534D"/>
    <w:rsid w:val="003C5F3C"/>
    <w:rsid w:val="003C6E4A"/>
    <w:rsid w:val="003C721C"/>
    <w:rsid w:val="003D00C0"/>
    <w:rsid w:val="003D31C8"/>
    <w:rsid w:val="003D4023"/>
    <w:rsid w:val="003D56DF"/>
    <w:rsid w:val="003D5AD5"/>
    <w:rsid w:val="003D665C"/>
    <w:rsid w:val="003E00BB"/>
    <w:rsid w:val="003E0560"/>
    <w:rsid w:val="003E1DC0"/>
    <w:rsid w:val="003E21C7"/>
    <w:rsid w:val="003E4347"/>
    <w:rsid w:val="003E5304"/>
    <w:rsid w:val="003E6669"/>
    <w:rsid w:val="003F0BF3"/>
    <w:rsid w:val="003F14B9"/>
    <w:rsid w:val="003F2D20"/>
    <w:rsid w:val="003F38F2"/>
    <w:rsid w:val="003F61BE"/>
    <w:rsid w:val="003F70F8"/>
    <w:rsid w:val="0040108D"/>
    <w:rsid w:val="00401B61"/>
    <w:rsid w:val="00401EF1"/>
    <w:rsid w:val="00403626"/>
    <w:rsid w:val="00403D35"/>
    <w:rsid w:val="004041ED"/>
    <w:rsid w:val="00405FD9"/>
    <w:rsid w:val="00407A30"/>
    <w:rsid w:val="00410DCE"/>
    <w:rsid w:val="00411AA7"/>
    <w:rsid w:val="004121E5"/>
    <w:rsid w:val="00412A77"/>
    <w:rsid w:val="00413CF1"/>
    <w:rsid w:val="00414170"/>
    <w:rsid w:val="00414358"/>
    <w:rsid w:val="004145B9"/>
    <w:rsid w:val="004149BD"/>
    <w:rsid w:val="00414DA0"/>
    <w:rsid w:val="00421509"/>
    <w:rsid w:val="00422E74"/>
    <w:rsid w:val="00423E20"/>
    <w:rsid w:val="004244B0"/>
    <w:rsid w:val="00424999"/>
    <w:rsid w:val="00424CE3"/>
    <w:rsid w:val="00425540"/>
    <w:rsid w:val="00425F4A"/>
    <w:rsid w:val="00426559"/>
    <w:rsid w:val="00430C31"/>
    <w:rsid w:val="004317E1"/>
    <w:rsid w:val="00431944"/>
    <w:rsid w:val="0043360A"/>
    <w:rsid w:val="0043397A"/>
    <w:rsid w:val="00433A9F"/>
    <w:rsid w:val="00434111"/>
    <w:rsid w:val="00434120"/>
    <w:rsid w:val="00437C45"/>
    <w:rsid w:val="00440C6E"/>
    <w:rsid w:val="00440F6A"/>
    <w:rsid w:val="004429B8"/>
    <w:rsid w:val="0044717B"/>
    <w:rsid w:val="00447C14"/>
    <w:rsid w:val="004524E0"/>
    <w:rsid w:val="00452C1E"/>
    <w:rsid w:val="00452D41"/>
    <w:rsid w:val="004534A2"/>
    <w:rsid w:val="004542F8"/>
    <w:rsid w:val="004543F7"/>
    <w:rsid w:val="00455B8A"/>
    <w:rsid w:val="00455C06"/>
    <w:rsid w:val="00455E28"/>
    <w:rsid w:val="004573B9"/>
    <w:rsid w:val="004578CB"/>
    <w:rsid w:val="00461436"/>
    <w:rsid w:val="00461885"/>
    <w:rsid w:val="00461D31"/>
    <w:rsid w:val="0046245E"/>
    <w:rsid w:val="0046289A"/>
    <w:rsid w:val="00463846"/>
    <w:rsid w:val="00463B3F"/>
    <w:rsid w:val="00464A49"/>
    <w:rsid w:val="004650C1"/>
    <w:rsid w:val="00466BAB"/>
    <w:rsid w:val="00470631"/>
    <w:rsid w:val="004712E0"/>
    <w:rsid w:val="00474155"/>
    <w:rsid w:val="00474D97"/>
    <w:rsid w:val="00480131"/>
    <w:rsid w:val="00480716"/>
    <w:rsid w:val="004831AE"/>
    <w:rsid w:val="004862F1"/>
    <w:rsid w:val="00486B3A"/>
    <w:rsid w:val="00487B22"/>
    <w:rsid w:val="00490FAF"/>
    <w:rsid w:val="00494D43"/>
    <w:rsid w:val="004952B8"/>
    <w:rsid w:val="00496AB9"/>
    <w:rsid w:val="004A0F12"/>
    <w:rsid w:val="004A191E"/>
    <w:rsid w:val="004A1931"/>
    <w:rsid w:val="004A1EDC"/>
    <w:rsid w:val="004A2B55"/>
    <w:rsid w:val="004A475E"/>
    <w:rsid w:val="004A5D7C"/>
    <w:rsid w:val="004A5EAF"/>
    <w:rsid w:val="004B09BD"/>
    <w:rsid w:val="004B09FE"/>
    <w:rsid w:val="004B0D41"/>
    <w:rsid w:val="004B15C2"/>
    <w:rsid w:val="004B2EA9"/>
    <w:rsid w:val="004B2EC5"/>
    <w:rsid w:val="004B352F"/>
    <w:rsid w:val="004B428C"/>
    <w:rsid w:val="004B4437"/>
    <w:rsid w:val="004B4615"/>
    <w:rsid w:val="004B5966"/>
    <w:rsid w:val="004B6705"/>
    <w:rsid w:val="004B687A"/>
    <w:rsid w:val="004B789B"/>
    <w:rsid w:val="004B7FBF"/>
    <w:rsid w:val="004C00D2"/>
    <w:rsid w:val="004C07CD"/>
    <w:rsid w:val="004C0C82"/>
    <w:rsid w:val="004C22B4"/>
    <w:rsid w:val="004C3267"/>
    <w:rsid w:val="004C336A"/>
    <w:rsid w:val="004C3657"/>
    <w:rsid w:val="004C3F8D"/>
    <w:rsid w:val="004C4000"/>
    <w:rsid w:val="004C48A9"/>
    <w:rsid w:val="004C4A28"/>
    <w:rsid w:val="004C5A2C"/>
    <w:rsid w:val="004C5EB5"/>
    <w:rsid w:val="004C68EC"/>
    <w:rsid w:val="004C6908"/>
    <w:rsid w:val="004C6A07"/>
    <w:rsid w:val="004C70F1"/>
    <w:rsid w:val="004C7BF3"/>
    <w:rsid w:val="004D1423"/>
    <w:rsid w:val="004D1543"/>
    <w:rsid w:val="004D15F6"/>
    <w:rsid w:val="004D1BC7"/>
    <w:rsid w:val="004D2E30"/>
    <w:rsid w:val="004D362C"/>
    <w:rsid w:val="004D452A"/>
    <w:rsid w:val="004D5121"/>
    <w:rsid w:val="004D54D4"/>
    <w:rsid w:val="004D7C87"/>
    <w:rsid w:val="004E11CE"/>
    <w:rsid w:val="004E1F5D"/>
    <w:rsid w:val="004E298A"/>
    <w:rsid w:val="004E2E20"/>
    <w:rsid w:val="004E33C1"/>
    <w:rsid w:val="004E56BB"/>
    <w:rsid w:val="004E5D03"/>
    <w:rsid w:val="004E6476"/>
    <w:rsid w:val="004F09CB"/>
    <w:rsid w:val="004F1573"/>
    <w:rsid w:val="004F3346"/>
    <w:rsid w:val="004F4840"/>
    <w:rsid w:val="004F70CF"/>
    <w:rsid w:val="004F70D3"/>
    <w:rsid w:val="004F7129"/>
    <w:rsid w:val="00500E90"/>
    <w:rsid w:val="00501A06"/>
    <w:rsid w:val="005031FE"/>
    <w:rsid w:val="00503355"/>
    <w:rsid w:val="0050357A"/>
    <w:rsid w:val="00503883"/>
    <w:rsid w:val="00503A7B"/>
    <w:rsid w:val="00503D04"/>
    <w:rsid w:val="00503E65"/>
    <w:rsid w:val="00504357"/>
    <w:rsid w:val="005052E9"/>
    <w:rsid w:val="0051028C"/>
    <w:rsid w:val="005114B1"/>
    <w:rsid w:val="00512292"/>
    <w:rsid w:val="00514711"/>
    <w:rsid w:val="00514A0F"/>
    <w:rsid w:val="00516630"/>
    <w:rsid w:val="00516ADB"/>
    <w:rsid w:val="00517490"/>
    <w:rsid w:val="00517DAF"/>
    <w:rsid w:val="00520C1B"/>
    <w:rsid w:val="00525B68"/>
    <w:rsid w:val="00527959"/>
    <w:rsid w:val="00527F47"/>
    <w:rsid w:val="00527FCB"/>
    <w:rsid w:val="00530A53"/>
    <w:rsid w:val="00533549"/>
    <w:rsid w:val="00533B85"/>
    <w:rsid w:val="00536130"/>
    <w:rsid w:val="00542441"/>
    <w:rsid w:val="00542C70"/>
    <w:rsid w:val="00543A29"/>
    <w:rsid w:val="005449A9"/>
    <w:rsid w:val="00544FCD"/>
    <w:rsid w:val="005457CA"/>
    <w:rsid w:val="00545D1C"/>
    <w:rsid w:val="00546754"/>
    <w:rsid w:val="00547621"/>
    <w:rsid w:val="00551FA5"/>
    <w:rsid w:val="0055292C"/>
    <w:rsid w:val="00553F01"/>
    <w:rsid w:val="00554993"/>
    <w:rsid w:val="00555C7E"/>
    <w:rsid w:val="00555D65"/>
    <w:rsid w:val="005574D5"/>
    <w:rsid w:val="00557D58"/>
    <w:rsid w:val="0056087C"/>
    <w:rsid w:val="00562760"/>
    <w:rsid w:val="00563196"/>
    <w:rsid w:val="00563B33"/>
    <w:rsid w:val="00564EEA"/>
    <w:rsid w:val="005659BA"/>
    <w:rsid w:val="00567310"/>
    <w:rsid w:val="005674FE"/>
    <w:rsid w:val="005714DD"/>
    <w:rsid w:val="0057442E"/>
    <w:rsid w:val="005747A1"/>
    <w:rsid w:val="00575E93"/>
    <w:rsid w:val="00576DE3"/>
    <w:rsid w:val="005776B9"/>
    <w:rsid w:val="0058189B"/>
    <w:rsid w:val="00581D00"/>
    <w:rsid w:val="00582135"/>
    <w:rsid w:val="00582F62"/>
    <w:rsid w:val="0058305B"/>
    <w:rsid w:val="005835C1"/>
    <w:rsid w:val="00583836"/>
    <w:rsid w:val="00584DF1"/>
    <w:rsid w:val="00591591"/>
    <w:rsid w:val="005915B7"/>
    <w:rsid w:val="00591B63"/>
    <w:rsid w:val="00592604"/>
    <w:rsid w:val="00593956"/>
    <w:rsid w:val="0059465D"/>
    <w:rsid w:val="00594CA3"/>
    <w:rsid w:val="00595A18"/>
    <w:rsid w:val="00597A0A"/>
    <w:rsid w:val="00597FF8"/>
    <w:rsid w:val="005A2643"/>
    <w:rsid w:val="005A2EA1"/>
    <w:rsid w:val="005A36FF"/>
    <w:rsid w:val="005A55F5"/>
    <w:rsid w:val="005A5D0E"/>
    <w:rsid w:val="005A65B3"/>
    <w:rsid w:val="005A766C"/>
    <w:rsid w:val="005B206A"/>
    <w:rsid w:val="005B4BC6"/>
    <w:rsid w:val="005B72A4"/>
    <w:rsid w:val="005B7D10"/>
    <w:rsid w:val="005C6898"/>
    <w:rsid w:val="005C69F7"/>
    <w:rsid w:val="005D0A5F"/>
    <w:rsid w:val="005D1696"/>
    <w:rsid w:val="005D28C9"/>
    <w:rsid w:val="005D3445"/>
    <w:rsid w:val="005D358D"/>
    <w:rsid w:val="005D376E"/>
    <w:rsid w:val="005D4975"/>
    <w:rsid w:val="005D52D2"/>
    <w:rsid w:val="005D6E53"/>
    <w:rsid w:val="005E0001"/>
    <w:rsid w:val="005E0CD5"/>
    <w:rsid w:val="005E17CC"/>
    <w:rsid w:val="005E1A46"/>
    <w:rsid w:val="005E3442"/>
    <w:rsid w:val="005E34FE"/>
    <w:rsid w:val="005E5103"/>
    <w:rsid w:val="005E59D6"/>
    <w:rsid w:val="005E7347"/>
    <w:rsid w:val="005E7AC6"/>
    <w:rsid w:val="005E7F71"/>
    <w:rsid w:val="005F11A7"/>
    <w:rsid w:val="005F3255"/>
    <w:rsid w:val="005F36E0"/>
    <w:rsid w:val="005F43BF"/>
    <w:rsid w:val="00601D44"/>
    <w:rsid w:val="00601E07"/>
    <w:rsid w:val="00606EA7"/>
    <w:rsid w:val="0061021C"/>
    <w:rsid w:val="00611421"/>
    <w:rsid w:val="00612850"/>
    <w:rsid w:val="00612CD0"/>
    <w:rsid w:val="0061567B"/>
    <w:rsid w:val="00615980"/>
    <w:rsid w:val="006163A0"/>
    <w:rsid w:val="006168E9"/>
    <w:rsid w:val="006174C1"/>
    <w:rsid w:val="00617F3D"/>
    <w:rsid w:val="00620281"/>
    <w:rsid w:val="00620965"/>
    <w:rsid w:val="0062366F"/>
    <w:rsid w:val="00625F29"/>
    <w:rsid w:val="0062651B"/>
    <w:rsid w:val="0063003B"/>
    <w:rsid w:val="0063085A"/>
    <w:rsid w:val="006309AF"/>
    <w:rsid w:val="006315F8"/>
    <w:rsid w:val="00631867"/>
    <w:rsid w:val="0063216F"/>
    <w:rsid w:val="00632F3F"/>
    <w:rsid w:val="00633F4A"/>
    <w:rsid w:val="006340E6"/>
    <w:rsid w:val="0063414D"/>
    <w:rsid w:val="00634943"/>
    <w:rsid w:val="00635222"/>
    <w:rsid w:val="006358EB"/>
    <w:rsid w:val="00640B07"/>
    <w:rsid w:val="00640CD8"/>
    <w:rsid w:val="006410A1"/>
    <w:rsid w:val="0064448C"/>
    <w:rsid w:val="00647C93"/>
    <w:rsid w:val="00651C09"/>
    <w:rsid w:val="006523A1"/>
    <w:rsid w:val="006547EF"/>
    <w:rsid w:val="00655156"/>
    <w:rsid w:val="00657325"/>
    <w:rsid w:val="00657C6B"/>
    <w:rsid w:val="0066050A"/>
    <w:rsid w:val="00660BF6"/>
    <w:rsid w:val="0066104D"/>
    <w:rsid w:val="00661886"/>
    <w:rsid w:val="00662188"/>
    <w:rsid w:val="006621FD"/>
    <w:rsid w:val="006627C6"/>
    <w:rsid w:val="00663746"/>
    <w:rsid w:val="0066378C"/>
    <w:rsid w:val="00665067"/>
    <w:rsid w:val="006650FE"/>
    <w:rsid w:val="00670242"/>
    <w:rsid w:val="006702F3"/>
    <w:rsid w:val="00670A06"/>
    <w:rsid w:val="00670D9E"/>
    <w:rsid w:val="00670DA6"/>
    <w:rsid w:val="006720B1"/>
    <w:rsid w:val="006730E7"/>
    <w:rsid w:val="006735D7"/>
    <w:rsid w:val="006736DE"/>
    <w:rsid w:val="006739F2"/>
    <w:rsid w:val="00673CCB"/>
    <w:rsid w:val="006746A6"/>
    <w:rsid w:val="006749CF"/>
    <w:rsid w:val="0067501D"/>
    <w:rsid w:val="00680243"/>
    <w:rsid w:val="00681E84"/>
    <w:rsid w:val="00682576"/>
    <w:rsid w:val="00682A4A"/>
    <w:rsid w:val="0068332B"/>
    <w:rsid w:val="006858D0"/>
    <w:rsid w:val="006866E8"/>
    <w:rsid w:val="00690274"/>
    <w:rsid w:val="0069082B"/>
    <w:rsid w:val="00690E65"/>
    <w:rsid w:val="00691C70"/>
    <w:rsid w:val="0069258F"/>
    <w:rsid w:val="00692D0C"/>
    <w:rsid w:val="0069336E"/>
    <w:rsid w:val="00694CC9"/>
    <w:rsid w:val="0069526D"/>
    <w:rsid w:val="0069692C"/>
    <w:rsid w:val="00697226"/>
    <w:rsid w:val="006A0293"/>
    <w:rsid w:val="006A0A98"/>
    <w:rsid w:val="006A0E1A"/>
    <w:rsid w:val="006A45D1"/>
    <w:rsid w:val="006A4AE0"/>
    <w:rsid w:val="006A7D05"/>
    <w:rsid w:val="006B0A0B"/>
    <w:rsid w:val="006B0FAB"/>
    <w:rsid w:val="006B1258"/>
    <w:rsid w:val="006B192D"/>
    <w:rsid w:val="006B301A"/>
    <w:rsid w:val="006B3E95"/>
    <w:rsid w:val="006B41A9"/>
    <w:rsid w:val="006B5195"/>
    <w:rsid w:val="006B6DE9"/>
    <w:rsid w:val="006B6E30"/>
    <w:rsid w:val="006B78E9"/>
    <w:rsid w:val="006C1105"/>
    <w:rsid w:val="006C1A60"/>
    <w:rsid w:val="006C2236"/>
    <w:rsid w:val="006C3BF4"/>
    <w:rsid w:val="006C41D2"/>
    <w:rsid w:val="006C44EF"/>
    <w:rsid w:val="006C5126"/>
    <w:rsid w:val="006C6690"/>
    <w:rsid w:val="006C77AE"/>
    <w:rsid w:val="006C78DF"/>
    <w:rsid w:val="006C7F29"/>
    <w:rsid w:val="006D1CD7"/>
    <w:rsid w:val="006D50DF"/>
    <w:rsid w:val="006D5C21"/>
    <w:rsid w:val="006D5CD0"/>
    <w:rsid w:val="006D696F"/>
    <w:rsid w:val="006D6E5A"/>
    <w:rsid w:val="006E02E2"/>
    <w:rsid w:val="006E035A"/>
    <w:rsid w:val="006E1514"/>
    <w:rsid w:val="006E18CC"/>
    <w:rsid w:val="006E18D7"/>
    <w:rsid w:val="006E2A24"/>
    <w:rsid w:val="006E41E9"/>
    <w:rsid w:val="006E4A92"/>
    <w:rsid w:val="006E4C8B"/>
    <w:rsid w:val="006E596A"/>
    <w:rsid w:val="006E7DD3"/>
    <w:rsid w:val="006F0E06"/>
    <w:rsid w:val="006F18EF"/>
    <w:rsid w:val="006F2B4B"/>
    <w:rsid w:val="006F3A17"/>
    <w:rsid w:val="006F4074"/>
    <w:rsid w:val="006F4591"/>
    <w:rsid w:val="006F48E3"/>
    <w:rsid w:val="006F4E69"/>
    <w:rsid w:val="006F7B84"/>
    <w:rsid w:val="00702031"/>
    <w:rsid w:val="0070246A"/>
    <w:rsid w:val="00702E2C"/>
    <w:rsid w:val="00703F63"/>
    <w:rsid w:val="00707E1B"/>
    <w:rsid w:val="00711208"/>
    <w:rsid w:val="007119DE"/>
    <w:rsid w:val="00714AA4"/>
    <w:rsid w:val="00714AE6"/>
    <w:rsid w:val="00716940"/>
    <w:rsid w:val="0072038C"/>
    <w:rsid w:val="00720B2D"/>
    <w:rsid w:val="0072202C"/>
    <w:rsid w:val="00722835"/>
    <w:rsid w:val="00722C51"/>
    <w:rsid w:val="00723572"/>
    <w:rsid w:val="007246B4"/>
    <w:rsid w:val="007247E2"/>
    <w:rsid w:val="00724D6F"/>
    <w:rsid w:val="00725DF4"/>
    <w:rsid w:val="00725E74"/>
    <w:rsid w:val="007266E9"/>
    <w:rsid w:val="007313ED"/>
    <w:rsid w:val="007315F2"/>
    <w:rsid w:val="00731AE6"/>
    <w:rsid w:val="00731F4D"/>
    <w:rsid w:val="00733171"/>
    <w:rsid w:val="00733376"/>
    <w:rsid w:val="0073350A"/>
    <w:rsid w:val="00733A7C"/>
    <w:rsid w:val="00734542"/>
    <w:rsid w:val="0073514E"/>
    <w:rsid w:val="007372BB"/>
    <w:rsid w:val="00737B00"/>
    <w:rsid w:val="007403FA"/>
    <w:rsid w:val="007415A7"/>
    <w:rsid w:val="00741747"/>
    <w:rsid w:val="0074229E"/>
    <w:rsid w:val="00743E59"/>
    <w:rsid w:val="00744A04"/>
    <w:rsid w:val="007505D3"/>
    <w:rsid w:val="00751395"/>
    <w:rsid w:val="007518B4"/>
    <w:rsid w:val="00751E26"/>
    <w:rsid w:val="007539A6"/>
    <w:rsid w:val="00755D30"/>
    <w:rsid w:val="007570C0"/>
    <w:rsid w:val="00757211"/>
    <w:rsid w:val="00762C7B"/>
    <w:rsid w:val="007634AB"/>
    <w:rsid w:val="00764D25"/>
    <w:rsid w:val="00765F0A"/>
    <w:rsid w:val="00766C9B"/>
    <w:rsid w:val="00767BC0"/>
    <w:rsid w:val="00767EBE"/>
    <w:rsid w:val="00770E29"/>
    <w:rsid w:val="007745F4"/>
    <w:rsid w:val="007759AD"/>
    <w:rsid w:val="007761BF"/>
    <w:rsid w:val="007774D6"/>
    <w:rsid w:val="00777D4D"/>
    <w:rsid w:val="007814F5"/>
    <w:rsid w:val="00783386"/>
    <w:rsid w:val="00783F39"/>
    <w:rsid w:val="007856BE"/>
    <w:rsid w:val="00787428"/>
    <w:rsid w:val="00787CD0"/>
    <w:rsid w:val="00791E00"/>
    <w:rsid w:val="007957DC"/>
    <w:rsid w:val="00796246"/>
    <w:rsid w:val="007973E4"/>
    <w:rsid w:val="00797644"/>
    <w:rsid w:val="00797A1A"/>
    <w:rsid w:val="007A00CA"/>
    <w:rsid w:val="007A06BC"/>
    <w:rsid w:val="007A2F1D"/>
    <w:rsid w:val="007A419C"/>
    <w:rsid w:val="007A5246"/>
    <w:rsid w:val="007A5F73"/>
    <w:rsid w:val="007A641E"/>
    <w:rsid w:val="007A746F"/>
    <w:rsid w:val="007A7ED4"/>
    <w:rsid w:val="007B2699"/>
    <w:rsid w:val="007C1114"/>
    <w:rsid w:val="007C54AD"/>
    <w:rsid w:val="007C5F6A"/>
    <w:rsid w:val="007C6C2A"/>
    <w:rsid w:val="007C78EE"/>
    <w:rsid w:val="007D0051"/>
    <w:rsid w:val="007D0E1F"/>
    <w:rsid w:val="007D1A21"/>
    <w:rsid w:val="007D57AD"/>
    <w:rsid w:val="007D5CEE"/>
    <w:rsid w:val="007D6523"/>
    <w:rsid w:val="007D66D5"/>
    <w:rsid w:val="007D6A90"/>
    <w:rsid w:val="007E2F27"/>
    <w:rsid w:val="007E3509"/>
    <w:rsid w:val="007E383A"/>
    <w:rsid w:val="007E5010"/>
    <w:rsid w:val="007E583D"/>
    <w:rsid w:val="007E58F9"/>
    <w:rsid w:val="007E62C5"/>
    <w:rsid w:val="007E6579"/>
    <w:rsid w:val="007E7158"/>
    <w:rsid w:val="007E7ECC"/>
    <w:rsid w:val="007F127B"/>
    <w:rsid w:val="007F2043"/>
    <w:rsid w:val="007F4A74"/>
    <w:rsid w:val="007F50EF"/>
    <w:rsid w:val="007F53F6"/>
    <w:rsid w:val="007F61A0"/>
    <w:rsid w:val="007F7126"/>
    <w:rsid w:val="0080252D"/>
    <w:rsid w:val="00803A84"/>
    <w:rsid w:val="00804CEC"/>
    <w:rsid w:val="0080572B"/>
    <w:rsid w:val="0080717B"/>
    <w:rsid w:val="00807C4E"/>
    <w:rsid w:val="00807F26"/>
    <w:rsid w:val="00810049"/>
    <w:rsid w:val="00810D33"/>
    <w:rsid w:val="00814CBF"/>
    <w:rsid w:val="00815AFF"/>
    <w:rsid w:val="008165B2"/>
    <w:rsid w:val="008167BB"/>
    <w:rsid w:val="00820239"/>
    <w:rsid w:val="0082165C"/>
    <w:rsid w:val="00822897"/>
    <w:rsid w:val="00822A7E"/>
    <w:rsid w:val="00822F2C"/>
    <w:rsid w:val="00823F51"/>
    <w:rsid w:val="00824476"/>
    <w:rsid w:val="0082596E"/>
    <w:rsid w:val="008260F2"/>
    <w:rsid w:val="00827E21"/>
    <w:rsid w:val="00830778"/>
    <w:rsid w:val="0083324D"/>
    <w:rsid w:val="00833F7C"/>
    <w:rsid w:val="00834099"/>
    <w:rsid w:val="00835F05"/>
    <w:rsid w:val="00837955"/>
    <w:rsid w:val="00840B7F"/>
    <w:rsid w:val="00840D40"/>
    <w:rsid w:val="008433AF"/>
    <w:rsid w:val="00843F37"/>
    <w:rsid w:val="00845839"/>
    <w:rsid w:val="00845A23"/>
    <w:rsid w:val="00847175"/>
    <w:rsid w:val="008475B9"/>
    <w:rsid w:val="0085004D"/>
    <w:rsid w:val="00851CAB"/>
    <w:rsid w:val="00851DBB"/>
    <w:rsid w:val="00852CE5"/>
    <w:rsid w:val="00852F27"/>
    <w:rsid w:val="008534CD"/>
    <w:rsid w:val="008537B2"/>
    <w:rsid w:val="00854B00"/>
    <w:rsid w:val="00854F77"/>
    <w:rsid w:val="0085504D"/>
    <w:rsid w:val="00855385"/>
    <w:rsid w:val="00856742"/>
    <w:rsid w:val="008568FA"/>
    <w:rsid w:val="00857604"/>
    <w:rsid w:val="00860A76"/>
    <w:rsid w:val="00860FF0"/>
    <w:rsid w:val="00861A1E"/>
    <w:rsid w:val="00862FE5"/>
    <w:rsid w:val="00864503"/>
    <w:rsid w:val="00864815"/>
    <w:rsid w:val="0086546B"/>
    <w:rsid w:val="00865525"/>
    <w:rsid w:val="00866CD6"/>
    <w:rsid w:val="008679AE"/>
    <w:rsid w:val="00867BAC"/>
    <w:rsid w:val="0087044E"/>
    <w:rsid w:val="00870F6E"/>
    <w:rsid w:val="0087212B"/>
    <w:rsid w:val="00872160"/>
    <w:rsid w:val="0087235D"/>
    <w:rsid w:val="008725CB"/>
    <w:rsid w:val="00872D8A"/>
    <w:rsid w:val="00872E0C"/>
    <w:rsid w:val="00873645"/>
    <w:rsid w:val="00873E9D"/>
    <w:rsid w:val="0087441A"/>
    <w:rsid w:val="00874566"/>
    <w:rsid w:val="00874FC4"/>
    <w:rsid w:val="00877123"/>
    <w:rsid w:val="00880EE3"/>
    <w:rsid w:val="008810CF"/>
    <w:rsid w:val="008829A2"/>
    <w:rsid w:val="00882F80"/>
    <w:rsid w:val="00883279"/>
    <w:rsid w:val="008833F4"/>
    <w:rsid w:val="0088486C"/>
    <w:rsid w:val="00884D02"/>
    <w:rsid w:val="00884DB7"/>
    <w:rsid w:val="00886035"/>
    <w:rsid w:val="00887D22"/>
    <w:rsid w:val="008904A1"/>
    <w:rsid w:val="00891E46"/>
    <w:rsid w:val="00894ABE"/>
    <w:rsid w:val="008957A9"/>
    <w:rsid w:val="0089612C"/>
    <w:rsid w:val="00896996"/>
    <w:rsid w:val="00897DC7"/>
    <w:rsid w:val="008A04A8"/>
    <w:rsid w:val="008A22D7"/>
    <w:rsid w:val="008A2385"/>
    <w:rsid w:val="008A3100"/>
    <w:rsid w:val="008A4BE9"/>
    <w:rsid w:val="008B0F89"/>
    <w:rsid w:val="008B2B44"/>
    <w:rsid w:val="008B3D89"/>
    <w:rsid w:val="008B593C"/>
    <w:rsid w:val="008B740B"/>
    <w:rsid w:val="008C149C"/>
    <w:rsid w:val="008C2B9D"/>
    <w:rsid w:val="008C2C6F"/>
    <w:rsid w:val="008C38A7"/>
    <w:rsid w:val="008C3BA4"/>
    <w:rsid w:val="008C5BDB"/>
    <w:rsid w:val="008D0087"/>
    <w:rsid w:val="008D0359"/>
    <w:rsid w:val="008D06AF"/>
    <w:rsid w:val="008D0AC4"/>
    <w:rsid w:val="008D25DF"/>
    <w:rsid w:val="008D2E0E"/>
    <w:rsid w:val="008D46FC"/>
    <w:rsid w:val="008D5024"/>
    <w:rsid w:val="008D69DA"/>
    <w:rsid w:val="008E2B24"/>
    <w:rsid w:val="008E2B93"/>
    <w:rsid w:val="008E4F9A"/>
    <w:rsid w:val="008E66DE"/>
    <w:rsid w:val="008F2DC8"/>
    <w:rsid w:val="008F7DA9"/>
    <w:rsid w:val="00900733"/>
    <w:rsid w:val="00900CC1"/>
    <w:rsid w:val="0090285A"/>
    <w:rsid w:val="0090305E"/>
    <w:rsid w:val="00903DBF"/>
    <w:rsid w:val="00904DE9"/>
    <w:rsid w:val="009054E6"/>
    <w:rsid w:val="009106E1"/>
    <w:rsid w:val="00911A79"/>
    <w:rsid w:val="00911E7E"/>
    <w:rsid w:val="00911F27"/>
    <w:rsid w:val="00912207"/>
    <w:rsid w:val="00912CD2"/>
    <w:rsid w:val="0091585F"/>
    <w:rsid w:val="009173DA"/>
    <w:rsid w:val="00917E80"/>
    <w:rsid w:val="009224D2"/>
    <w:rsid w:val="009236E4"/>
    <w:rsid w:val="00924176"/>
    <w:rsid w:val="009244F2"/>
    <w:rsid w:val="0092471F"/>
    <w:rsid w:val="00924926"/>
    <w:rsid w:val="00925360"/>
    <w:rsid w:val="0092798F"/>
    <w:rsid w:val="00931318"/>
    <w:rsid w:val="009316BC"/>
    <w:rsid w:val="00932417"/>
    <w:rsid w:val="00932D59"/>
    <w:rsid w:val="0093543A"/>
    <w:rsid w:val="00935539"/>
    <w:rsid w:val="00935FEB"/>
    <w:rsid w:val="00937C23"/>
    <w:rsid w:val="0094289F"/>
    <w:rsid w:val="009428BE"/>
    <w:rsid w:val="00944890"/>
    <w:rsid w:val="00947125"/>
    <w:rsid w:val="0095469F"/>
    <w:rsid w:val="009561CB"/>
    <w:rsid w:val="00957768"/>
    <w:rsid w:val="009603C9"/>
    <w:rsid w:val="00961871"/>
    <w:rsid w:val="00962DD8"/>
    <w:rsid w:val="00962F6D"/>
    <w:rsid w:val="0096316B"/>
    <w:rsid w:val="00964724"/>
    <w:rsid w:val="00965FDB"/>
    <w:rsid w:val="00971DC9"/>
    <w:rsid w:val="00973E4B"/>
    <w:rsid w:val="00975352"/>
    <w:rsid w:val="00975658"/>
    <w:rsid w:val="0097774D"/>
    <w:rsid w:val="00977F7E"/>
    <w:rsid w:val="00980427"/>
    <w:rsid w:val="00982E94"/>
    <w:rsid w:val="009832E2"/>
    <w:rsid w:val="00984E74"/>
    <w:rsid w:val="00985F64"/>
    <w:rsid w:val="00987784"/>
    <w:rsid w:val="0099131F"/>
    <w:rsid w:val="00991E10"/>
    <w:rsid w:val="00995211"/>
    <w:rsid w:val="00995B6C"/>
    <w:rsid w:val="00995FF9"/>
    <w:rsid w:val="00996AAD"/>
    <w:rsid w:val="009A0498"/>
    <w:rsid w:val="009A1C8F"/>
    <w:rsid w:val="009A41F4"/>
    <w:rsid w:val="009A500C"/>
    <w:rsid w:val="009A7A83"/>
    <w:rsid w:val="009B06E0"/>
    <w:rsid w:val="009B0739"/>
    <w:rsid w:val="009B094F"/>
    <w:rsid w:val="009B143F"/>
    <w:rsid w:val="009B2CBE"/>
    <w:rsid w:val="009B3C1B"/>
    <w:rsid w:val="009B494C"/>
    <w:rsid w:val="009B561A"/>
    <w:rsid w:val="009B5765"/>
    <w:rsid w:val="009B6061"/>
    <w:rsid w:val="009B625E"/>
    <w:rsid w:val="009C361F"/>
    <w:rsid w:val="009C5396"/>
    <w:rsid w:val="009C5697"/>
    <w:rsid w:val="009C56D1"/>
    <w:rsid w:val="009C6B36"/>
    <w:rsid w:val="009C7D4A"/>
    <w:rsid w:val="009D0133"/>
    <w:rsid w:val="009D07FA"/>
    <w:rsid w:val="009D0BCC"/>
    <w:rsid w:val="009D40BC"/>
    <w:rsid w:val="009D5789"/>
    <w:rsid w:val="009D716C"/>
    <w:rsid w:val="009E163D"/>
    <w:rsid w:val="009E1DE1"/>
    <w:rsid w:val="009E2006"/>
    <w:rsid w:val="009E3D96"/>
    <w:rsid w:val="009E46E3"/>
    <w:rsid w:val="009E5540"/>
    <w:rsid w:val="009E60BD"/>
    <w:rsid w:val="009E6CA0"/>
    <w:rsid w:val="009E7189"/>
    <w:rsid w:val="009E7339"/>
    <w:rsid w:val="009F0AFD"/>
    <w:rsid w:val="009F0F1F"/>
    <w:rsid w:val="009F1B5A"/>
    <w:rsid w:val="009F2D5D"/>
    <w:rsid w:val="009F3CCB"/>
    <w:rsid w:val="009F693D"/>
    <w:rsid w:val="009F6B8C"/>
    <w:rsid w:val="009F6C95"/>
    <w:rsid w:val="009F7562"/>
    <w:rsid w:val="009F7868"/>
    <w:rsid w:val="009F7E45"/>
    <w:rsid w:val="00A01A9D"/>
    <w:rsid w:val="00A03520"/>
    <w:rsid w:val="00A03CE5"/>
    <w:rsid w:val="00A05ED0"/>
    <w:rsid w:val="00A06D88"/>
    <w:rsid w:val="00A07848"/>
    <w:rsid w:val="00A12C2B"/>
    <w:rsid w:val="00A136E9"/>
    <w:rsid w:val="00A17AFA"/>
    <w:rsid w:val="00A201AB"/>
    <w:rsid w:val="00A21E40"/>
    <w:rsid w:val="00A22441"/>
    <w:rsid w:val="00A2368A"/>
    <w:rsid w:val="00A24551"/>
    <w:rsid w:val="00A24626"/>
    <w:rsid w:val="00A24E31"/>
    <w:rsid w:val="00A251BC"/>
    <w:rsid w:val="00A25549"/>
    <w:rsid w:val="00A26E11"/>
    <w:rsid w:val="00A27B0B"/>
    <w:rsid w:val="00A27E42"/>
    <w:rsid w:val="00A31224"/>
    <w:rsid w:val="00A33AA0"/>
    <w:rsid w:val="00A354D8"/>
    <w:rsid w:val="00A36AEB"/>
    <w:rsid w:val="00A402BA"/>
    <w:rsid w:val="00A41299"/>
    <w:rsid w:val="00A41E37"/>
    <w:rsid w:val="00A42BDB"/>
    <w:rsid w:val="00A43CFD"/>
    <w:rsid w:val="00A4529C"/>
    <w:rsid w:val="00A4532C"/>
    <w:rsid w:val="00A4539F"/>
    <w:rsid w:val="00A5205C"/>
    <w:rsid w:val="00A52742"/>
    <w:rsid w:val="00A53090"/>
    <w:rsid w:val="00A53988"/>
    <w:rsid w:val="00A53EF6"/>
    <w:rsid w:val="00A56B96"/>
    <w:rsid w:val="00A624B0"/>
    <w:rsid w:val="00A62AB5"/>
    <w:rsid w:val="00A62EC0"/>
    <w:rsid w:val="00A631E0"/>
    <w:rsid w:val="00A64077"/>
    <w:rsid w:val="00A65E04"/>
    <w:rsid w:val="00A66258"/>
    <w:rsid w:val="00A679FD"/>
    <w:rsid w:val="00A7016E"/>
    <w:rsid w:val="00A70627"/>
    <w:rsid w:val="00A70D4C"/>
    <w:rsid w:val="00A71504"/>
    <w:rsid w:val="00A7151E"/>
    <w:rsid w:val="00A717D1"/>
    <w:rsid w:val="00A7242C"/>
    <w:rsid w:val="00A7265B"/>
    <w:rsid w:val="00A730F7"/>
    <w:rsid w:val="00A74BD9"/>
    <w:rsid w:val="00A768F2"/>
    <w:rsid w:val="00A801D7"/>
    <w:rsid w:val="00A80B67"/>
    <w:rsid w:val="00A818CB"/>
    <w:rsid w:val="00A82A3D"/>
    <w:rsid w:val="00A82C8E"/>
    <w:rsid w:val="00A8415A"/>
    <w:rsid w:val="00A84591"/>
    <w:rsid w:val="00A84EF6"/>
    <w:rsid w:val="00A86228"/>
    <w:rsid w:val="00A86FFF"/>
    <w:rsid w:val="00A92389"/>
    <w:rsid w:val="00A92827"/>
    <w:rsid w:val="00A92BBE"/>
    <w:rsid w:val="00A93605"/>
    <w:rsid w:val="00A976DF"/>
    <w:rsid w:val="00A9779E"/>
    <w:rsid w:val="00AA0826"/>
    <w:rsid w:val="00AA27D2"/>
    <w:rsid w:val="00AA29E8"/>
    <w:rsid w:val="00AA53BD"/>
    <w:rsid w:val="00AA5773"/>
    <w:rsid w:val="00AA7AA1"/>
    <w:rsid w:val="00AA7DB3"/>
    <w:rsid w:val="00AB0763"/>
    <w:rsid w:val="00AB195D"/>
    <w:rsid w:val="00AB2308"/>
    <w:rsid w:val="00AB3D98"/>
    <w:rsid w:val="00AC0EEF"/>
    <w:rsid w:val="00AC0FBA"/>
    <w:rsid w:val="00AC194E"/>
    <w:rsid w:val="00AC20FC"/>
    <w:rsid w:val="00AC4FE7"/>
    <w:rsid w:val="00AC582A"/>
    <w:rsid w:val="00AC5D62"/>
    <w:rsid w:val="00AC6F40"/>
    <w:rsid w:val="00AD1EB9"/>
    <w:rsid w:val="00AD2F35"/>
    <w:rsid w:val="00AD64BE"/>
    <w:rsid w:val="00AD69F4"/>
    <w:rsid w:val="00AE010A"/>
    <w:rsid w:val="00AE13AA"/>
    <w:rsid w:val="00AE49F0"/>
    <w:rsid w:val="00AE56A6"/>
    <w:rsid w:val="00AE5A17"/>
    <w:rsid w:val="00AE5FEA"/>
    <w:rsid w:val="00AE6678"/>
    <w:rsid w:val="00AE7388"/>
    <w:rsid w:val="00AE7F1C"/>
    <w:rsid w:val="00AF0C8F"/>
    <w:rsid w:val="00AF0FE2"/>
    <w:rsid w:val="00AF1B53"/>
    <w:rsid w:val="00AF1EC9"/>
    <w:rsid w:val="00AF2814"/>
    <w:rsid w:val="00AF2EBB"/>
    <w:rsid w:val="00AF3CE4"/>
    <w:rsid w:val="00AF4658"/>
    <w:rsid w:val="00AF5389"/>
    <w:rsid w:val="00AF661C"/>
    <w:rsid w:val="00AF6DBC"/>
    <w:rsid w:val="00AF7B34"/>
    <w:rsid w:val="00B0037B"/>
    <w:rsid w:val="00B0161F"/>
    <w:rsid w:val="00B02113"/>
    <w:rsid w:val="00B05461"/>
    <w:rsid w:val="00B058C2"/>
    <w:rsid w:val="00B075C6"/>
    <w:rsid w:val="00B1228A"/>
    <w:rsid w:val="00B12BAD"/>
    <w:rsid w:val="00B15068"/>
    <w:rsid w:val="00B1553B"/>
    <w:rsid w:val="00B155F5"/>
    <w:rsid w:val="00B16E0F"/>
    <w:rsid w:val="00B214E0"/>
    <w:rsid w:val="00B21ADB"/>
    <w:rsid w:val="00B2464B"/>
    <w:rsid w:val="00B24E1C"/>
    <w:rsid w:val="00B258D9"/>
    <w:rsid w:val="00B27975"/>
    <w:rsid w:val="00B313F4"/>
    <w:rsid w:val="00B3159F"/>
    <w:rsid w:val="00B32DC1"/>
    <w:rsid w:val="00B335C6"/>
    <w:rsid w:val="00B338C4"/>
    <w:rsid w:val="00B34625"/>
    <w:rsid w:val="00B357ED"/>
    <w:rsid w:val="00B3656D"/>
    <w:rsid w:val="00B36680"/>
    <w:rsid w:val="00B37778"/>
    <w:rsid w:val="00B40333"/>
    <w:rsid w:val="00B40D8C"/>
    <w:rsid w:val="00B43679"/>
    <w:rsid w:val="00B43BCC"/>
    <w:rsid w:val="00B4407B"/>
    <w:rsid w:val="00B44467"/>
    <w:rsid w:val="00B44662"/>
    <w:rsid w:val="00B44881"/>
    <w:rsid w:val="00B44D53"/>
    <w:rsid w:val="00B46C84"/>
    <w:rsid w:val="00B46D12"/>
    <w:rsid w:val="00B474F7"/>
    <w:rsid w:val="00B50B06"/>
    <w:rsid w:val="00B512C9"/>
    <w:rsid w:val="00B52EC2"/>
    <w:rsid w:val="00B5332E"/>
    <w:rsid w:val="00B563BA"/>
    <w:rsid w:val="00B614E9"/>
    <w:rsid w:val="00B63191"/>
    <w:rsid w:val="00B63D24"/>
    <w:rsid w:val="00B64A5B"/>
    <w:rsid w:val="00B653A9"/>
    <w:rsid w:val="00B65BF3"/>
    <w:rsid w:val="00B65C0B"/>
    <w:rsid w:val="00B66442"/>
    <w:rsid w:val="00B66E02"/>
    <w:rsid w:val="00B67659"/>
    <w:rsid w:val="00B72788"/>
    <w:rsid w:val="00B72AF6"/>
    <w:rsid w:val="00B73F6E"/>
    <w:rsid w:val="00B749D5"/>
    <w:rsid w:val="00B74FB0"/>
    <w:rsid w:val="00B7574A"/>
    <w:rsid w:val="00B76291"/>
    <w:rsid w:val="00B76CA1"/>
    <w:rsid w:val="00B82B52"/>
    <w:rsid w:val="00B84975"/>
    <w:rsid w:val="00B85274"/>
    <w:rsid w:val="00B85622"/>
    <w:rsid w:val="00B857EE"/>
    <w:rsid w:val="00B85C7C"/>
    <w:rsid w:val="00B86D07"/>
    <w:rsid w:val="00B9082B"/>
    <w:rsid w:val="00B93028"/>
    <w:rsid w:val="00B94BA2"/>
    <w:rsid w:val="00B94C86"/>
    <w:rsid w:val="00B964F0"/>
    <w:rsid w:val="00B96B99"/>
    <w:rsid w:val="00B97D65"/>
    <w:rsid w:val="00BA0FBD"/>
    <w:rsid w:val="00BA142D"/>
    <w:rsid w:val="00BA34B7"/>
    <w:rsid w:val="00BA3820"/>
    <w:rsid w:val="00BA4D4E"/>
    <w:rsid w:val="00BA54F7"/>
    <w:rsid w:val="00BA5A52"/>
    <w:rsid w:val="00BA648D"/>
    <w:rsid w:val="00BA667B"/>
    <w:rsid w:val="00BB08F1"/>
    <w:rsid w:val="00BB1769"/>
    <w:rsid w:val="00BB1C56"/>
    <w:rsid w:val="00BB1D5B"/>
    <w:rsid w:val="00BB2114"/>
    <w:rsid w:val="00BB305F"/>
    <w:rsid w:val="00BB3FBC"/>
    <w:rsid w:val="00BB5408"/>
    <w:rsid w:val="00BB58DD"/>
    <w:rsid w:val="00BC0B42"/>
    <w:rsid w:val="00BC2083"/>
    <w:rsid w:val="00BC3054"/>
    <w:rsid w:val="00BC4290"/>
    <w:rsid w:val="00BC4E3C"/>
    <w:rsid w:val="00BC52BF"/>
    <w:rsid w:val="00BC65CA"/>
    <w:rsid w:val="00BC7BE4"/>
    <w:rsid w:val="00BD1130"/>
    <w:rsid w:val="00BD31E5"/>
    <w:rsid w:val="00BD33F0"/>
    <w:rsid w:val="00BD3433"/>
    <w:rsid w:val="00BD3965"/>
    <w:rsid w:val="00BD5DE8"/>
    <w:rsid w:val="00BE0A90"/>
    <w:rsid w:val="00BE148E"/>
    <w:rsid w:val="00BE1DEF"/>
    <w:rsid w:val="00BE2113"/>
    <w:rsid w:val="00BE2B2C"/>
    <w:rsid w:val="00BE369B"/>
    <w:rsid w:val="00BE40A0"/>
    <w:rsid w:val="00BE55F0"/>
    <w:rsid w:val="00BE60C4"/>
    <w:rsid w:val="00BE79C0"/>
    <w:rsid w:val="00BE7B6D"/>
    <w:rsid w:val="00BF01D1"/>
    <w:rsid w:val="00BF05EE"/>
    <w:rsid w:val="00BF1326"/>
    <w:rsid w:val="00BF24C1"/>
    <w:rsid w:val="00BF3029"/>
    <w:rsid w:val="00BF38E8"/>
    <w:rsid w:val="00BF3DE4"/>
    <w:rsid w:val="00BF45F2"/>
    <w:rsid w:val="00BF52DD"/>
    <w:rsid w:val="00BF6737"/>
    <w:rsid w:val="00C02745"/>
    <w:rsid w:val="00C031BB"/>
    <w:rsid w:val="00C034D9"/>
    <w:rsid w:val="00C06C91"/>
    <w:rsid w:val="00C0702A"/>
    <w:rsid w:val="00C07475"/>
    <w:rsid w:val="00C07C4A"/>
    <w:rsid w:val="00C119BD"/>
    <w:rsid w:val="00C11EBF"/>
    <w:rsid w:val="00C12688"/>
    <w:rsid w:val="00C12709"/>
    <w:rsid w:val="00C13F1E"/>
    <w:rsid w:val="00C14314"/>
    <w:rsid w:val="00C15D26"/>
    <w:rsid w:val="00C17B8F"/>
    <w:rsid w:val="00C20491"/>
    <w:rsid w:val="00C204DA"/>
    <w:rsid w:val="00C23B48"/>
    <w:rsid w:val="00C24B9C"/>
    <w:rsid w:val="00C25428"/>
    <w:rsid w:val="00C27746"/>
    <w:rsid w:val="00C30A48"/>
    <w:rsid w:val="00C3112F"/>
    <w:rsid w:val="00C311F0"/>
    <w:rsid w:val="00C3138F"/>
    <w:rsid w:val="00C319EA"/>
    <w:rsid w:val="00C36108"/>
    <w:rsid w:val="00C36442"/>
    <w:rsid w:val="00C36B51"/>
    <w:rsid w:val="00C37E37"/>
    <w:rsid w:val="00C37FC4"/>
    <w:rsid w:val="00C40E24"/>
    <w:rsid w:val="00C41D65"/>
    <w:rsid w:val="00C438F3"/>
    <w:rsid w:val="00C443A5"/>
    <w:rsid w:val="00C44FBE"/>
    <w:rsid w:val="00C4529A"/>
    <w:rsid w:val="00C45E2E"/>
    <w:rsid w:val="00C4629A"/>
    <w:rsid w:val="00C4657D"/>
    <w:rsid w:val="00C51159"/>
    <w:rsid w:val="00C52D1D"/>
    <w:rsid w:val="00C54001"/>
    <w:rsid w:val="00C56DCA"/>
    <w:rsid w:val="00C604A8"/>
    <w:rsid w:val="00C606E1"/>
    <w:rsid w:val="00C61372"/>
    <w:rsid w:val="00C61FF2"/>
    <w:rsid w:val="00C6251C"/>
    <w:rsid w:val="00C65D92"/>
    <w:rsid w:val="00C6631A"/>
    <w:rsid w:val="00C66581"/>
    <w:rsid w:val="00C67372"/>
    <w:rsid w:val="00C67424"/>
    <w:rsid w:val="00C6776D"/>
    <w:rsid w:val="00C67F51"/>
    <w:rsid w:val="00C707A4"/>
    <w:rsid w:val="00C7103B"/>
    <w:rsid w:val="00C715CB"/>
    <w:rsid w:val="00C719F5"/>
    <w:rsid w:val="00C72523"/>
    <w:rsid w:val="00C73580"/>
    <w:rsid w:val="00C74CF8"/>
    <w:rsid w:val="00C758FB"/>
    <w:rsid w:val="00C75DF8"/>
    <w:rsid w:val="00C75EB3"/>
    <w:rsid w:val="00C76D53"/>
    <w:rsid w:val="00C80423"/>
    <w:rsid w:val="00C80CD6"/>
    <w:rsid w:val="00C81210"/>
    <w:rsid w:val="00C83C1A"/>
    <w:rsid w:val="00C84B2E"/>
    <w:rsid w:val="00C85F72"/>
    <w:rsid w:val="00C87412"/>
    <w:rsid w:val="00C87B66"/>
    <w:rsid w:val="00C903C9"/>
    <w:rsid w:val="00C90DD3"/>
    <w:rsid w:val="00C939EB"/>
    <w:rsid w:val="00C94311"/>
    <w:rsid w:val="00C94646"/>
    <w:rsid w:val="00C95A3B"/>
    <w:rsid w:val="00CA17E3"/>
    <w:rsid w:val="00CA2853"/>
    <w:rsid w:val="00CA3513"/>
    <w:rsid w:val="00CA3BD1"/>
    <w:rsid w:val="00CA5793"/>
    <w:rsid w:val="00CA684B"/>
    <w:rsid w:val="00CA73AD"/>
    <w:rsid w:val="00CA76EB"/>
    <w:rsid w:val="00CB09B1"/>
    <w:rsid w:val="00CB280D"/>
    <w:rsid w:val="00CB30F7"/>
    <w:rsid w:val="00CB5E10"/>
    <w:rsid w:val="00CB6A43"/>
    <w:rsid w:val="00CB7AA7"/>
    <w:rsid w:val="00CC03AC"/>
    <w:rsid w:val="00CC0D14"/>
    <w:rsid w:val="00CC1C96"/>
    <w:rsid w:val="00CC37F0"/>
    <w:rsid w:val="00CC68F0"/>
    <w:rsid w:val="00CC7D13"/>
    <w:rsid w:val="00CD0855"/>
    <w:rsid w:val="00CD15DE"/>
    <w:rsid w:val="00CD1D94"/>
    <w:rsid w:val="00CD2400"/>
    <w:rsid w:val="00CD4D50"/>
    <w:rsid w:val="00CD518E"/>
    <w:rsid w:val="00CD583D"/>
    <w:rsid w:val="00CD5AC4"/>
    <w:rsid w:val="00CD5BC0"/>
    <w:rsid w:val="00CD7673"/>
    <w:rsid w:val="00CE0823"/>
    <w:rsid w:val="00CE0AEA"/>
    <w:rsid w:val="00CE117E"/>
    <w:rsid w:val="00CE196A"/>
    <w:rsid w:val="00CE252F"/>
    <w:rsid w:val="00CE4F6F"/>
    <w:rsid w:val="00CE6F5C"/>
    <w:rsid w:val="00CE6FA3"/>
    <w:rsid w:val="00CF067C"/>
    <w:rsid w:val="00CF1982"/>
    <w:rsid w:val="00CF26DC"/>
    <w:rsid w:val="00CF2824"/>
    <w:rsid w:val="00CF2921"/>
    <w:rsid w:val="00CF2B4E"/>
    <w:rsid w:val="00CF2D4D"/>
    <w:rsid w:val="00CF2E51"/>
    <w:rsid w:val="00CF36D5"/>
    <w:rsid w:val="00CF488F"/>
    <w:rsid w:val="00CF57DB"/>
    <w:rsid w:val="00CF6917"/>
    <w:rsid w:val="00CF7974"/>
    <w:rsid w:val="00D00E02"/>
    <w:rsid w:val="00D01118"/>
    <w:rsid w:val="00D01BB1"/>
    <w:rsid w:val="00D02982"/>
    <w:rsid w:val="00D0429B"/>
    <w:rsid w:val="00D052D4"/>
    <w:rsid w:val="00D07BAA"/>
    <w:rsid w:val="00D10F37"/>
    <w:rsid w:val="00D116EB"/>
    <w:rsid w:val="00D11AA6"/>
    <w:rsid w:val="00D1323F"/>
    <w:rsid w:val="00D1355F"/>
    <w:rsid w:val="00D13AF6"/>
    <w:rsid w:val="00D1440E"/>
    <w:rsid w:val="00D14732"/>
    <w:rsid w:val="00D1498D"/>
    <w:rsid w:val="00D14BF8"/>
    <w:rsid w:val="00D15D9D"/>
    <w:rsid w:val="00D15DF7"/>
    <w:rsid w:val="00D166F5"/>
    <w:rsid w:val="00D2154E"/>
    <w:rsid w:val="00D21C59"/>
    <w:rsid w:val="00D234DE"/>
    <w:rsid w:val="00D265C5"/>
    <w:rsid w:val="00D27E1E"/>
    <w:rsid w:val="00D3240F"/>
    <w:rsid w:val="00D32C21"/>
    <w:rsid w:val="00D3425A"/>
    <w:rsid w:val="00D3437C"/>
    <w:rsid w:val="00D3444E"/>
    <w:rsid w:val="00D37032"/>
    <w:rsid w:val="00D42687"/>
    <w:rsid w:val="00D44257"/>
    <w:rsid w:val="00D44E7D"/>
    <w:rsid w:val="00D45B15"/>
    <w:rsid w:val="00D4640D"/>
    <w:rsid w:val="00D46ECE"/>
    <w:rsid w:val="00D476C1"/>
    <w:rsid w:val="00D477E1"/>
    <w:rsid w:val="00D502BD"/>
    <w:rsid w:val="00D50A69"/>
    <w:rsid w:val="00D520D2"/>
    <w:rsid w:val="00D52BA1"/>
    <w:rsid w:val="00D55C59"/>
    <w:rsid w:val="00D56AE7"/>
    <w:rsid w:val="00D56C56"/>
    <w:rsid w:val="00D56CC9"/>
    <w:rsid w:val="00D60F9A"/>
    <w:rsid w:val="00D61DFD"/>
    <w:rsid w:val="00D648F5"/>
    <w:rsid w:val="00D64D49"/>
    <w:rsid w:val="00D64F35"/>
    <w:rsid w:val="00D658F0"/>
    <w:rsid w:val="00D66A86"/>
    <w:rsid w:val="00D70113"/>
    <w:rsid w:val="00D72F17"/>
    <w:rsid w:val="00D76395"/>
    <w:rsid w:val="00D803DB"/>
    <w:rsid w:val="00D80880"/>
    <w:rsid w:val="00D809DD"/>
    <w:rsid w:val="00D82157"/>
    <w:rsid w:val="00D82E9C"/>
    <w:rsid w:val="00D8465E"/>
    <w:rsid w:val="00D84E2D"/>
    <w:rsid w:val="00D859B7"/>
    <w:rsid w:val="00D85A6B"/>
    <w:rsid w:val="00D93BD5"/>
    <w:rsid w:val="00D953E5"/>
    <w:rsid w:val="00D97B75"/>
    <w:rsid w:val="00DA30A0"/>
    <w:rsid w:val="00DA30FC"/>
    <w:rsid w:val="00DA58BC"/>
    <w:rsid w:val="00DB1ECC"/>
    <w:rsid w:val="00DB28F6"/>
    <w:rsid w:val="00DB4674"/>
    <w:rsid w:val="00DB4E67"/>
    <w:rsid w:val="00DB56B2"/>
    <w:rsid w:val="00DB646F"/>
    <w:rsid w:val="00DB7152"/>
    <w:rsid w:val="00DB7E8C"/>
    <w:rsid w:val="00DB7EA5"/>
    <w:rsid w:val="00DC114C"/>
    <w:rsid w:val="00DC2042"/>
    <w:rsid w:val="00DC2C95"/>
    <w:rsid w:val="00DC4BAF"/>
    <w:rsid w:val="00DC53C2"/>
    <w:rsid w:val="00DC59CA"/>
    <w:rsid w:val="00DC62C5"/>
    <w:rsid w:val="00DC646E"/>
    <w:rsid w:val="00DC6F1A"/>
    <w:rsid w:val="00DC7049"/>
    <w:rsid w:val="00DD3CD2"/>
    <w:rsid w:val="00DE0653"/>
    <w:rsid w:val="00DE22BC"/>
    <w:rsid w:val="00DE2936"/>
    <w:rsid w:val="00DE2FD2"/>
    <w:rsid w:val="00DE3FC8"/>
    <w:rsid w:val="00DE625F"/>
    <w:rsid w:val="00DF1923"/>
    <w:rsid w:val="00DF2474"/>
    <w:rsid w:val="00DF3365"/>
    <w:rsid w:val="00DF3371"/>
    <w:rsid w:val="00DF78DE"/>
    <w:rsid w:val="00E008A5"/>
    <w:rsid w:val="00E010E8"/>
    <w:rsid w:val="00E013D9"/>
    <w:rsid w:val="00E020D8"/>
    <w:rsid w:val="00E03ED2"/>
    <w:rsid w:val="00E0598E"/>
    <w:rsid w:val="00E066F2"/>
    <w:rsid w:val="00E06E98"/>
    <w:rsid w:val="00E078C0"/>
    <w:rsid w:val="00E11906"/>
    <w:rsid w:val="00E13121"/>
    <w:rsid w:val="00E14852"/>
    <w:rsid w:val="00E15A0A"/>
    <w:rsid w:val="00E15CD0"/>
    <w:rsid w:val="00E1637F"/>
    <w:rsid w:val="00E2254E"/>
    <w:rsid w:val="00E228FD"/>
    <w:rsid w:val="00E22B22"/>
    <w:rsid w:val="00E22C45"/>
    <w:rsid w:val="00E23BA6"/>
    <w:rsid w:val="00E246A1"/>
    <w:rsid w:val="00E25256"/>
    <w:rsid w:val="00E255FB"/>
    <w:rsid w:val="00E25CFC"/>
    <w:rsid w:val="00E26CBB"/>
    <w:rsid w:val="00E2735E"/>
    <w:rsid w:val="00E279F5"/>
    <w:rsid w:val="00E3054D"/>
    <w:rsid w:val="00E31B60"/>
    <w:rsid w:val="00E31F59"/>
    <w:rsid w:val="00E32009"/>
    <w:rsid w:val="00E340D5"/>
    <w:rsid w:val="00E350E9"/>
    <w:rsid w:val="00E360C8"/>
    <w:rsid w:val="00E36961"/>
    <w:rsid w:val="00E40D0F"/>
    <w:rsid w:val="00E417C3"/>
    <w:rsid w:val="00E4194C"/>
    <w:rsid w:val="00E42C43"/>
    <w:rsid w:val="00E4468B"/>
    <w:rsid w:val="00E4484A"/>
    <w:rsid w:val="00E459EC"/>
    <w:rsid w:val="00E45CCB"/>
    <w:rsid w:val="00E4677E"/>
    <w:rsid w:val="00E467A9"/>
    <w:rsid w:val="00E46F92"/>
    <w:rsid w:val="00E529B0"/>
    <w:rsid w:val="00E53002"/>
    <w:rsid w:val="00E56D5D"/>
    <w:rsid w:val="00E5763B"/>
    <w:rsid w:val="00E60351"/>
    <w:rsid w:val="00E60BE3"/>
    <w:rsid w:val="00E61407"/>
    <w:rsid w:val="00E63453"/>
    <w:rsid w:val="00E647D4"/>
    <w:rsid w:val="00E6487C"/>
    <w:rsid w:val="00E65522"/>
    <w:rsid w:val="00E65FF9"/>
    <w:rsid w:val="00E67912"/>
    <w:rsid w:val="00E70F62"/>
    <w:rsid w:val="00E7226B"/>
    <w:rsid w:val="00E729B6"/>
    <w:rsid w:val="00E7438D"/>
    <w:rsid w:val="00E74A74"/>
    <w:rsid w:val="00E75001"/>
    <w:rsid w:val="00E756D6"/>
    <w:rsid w:val="00E75DF6"/>
    <w:rsid w:val="00E842C8"/>
    <w:rsid w:val="00E86BA2"/>
    <w:rsid w:val="00E8709B"/>
    <w:rsid w:val="00E871B9"/>
    <w:rsid w:val="00E904D6"/>
    <w:rsid w:val="00E914FD"/>
    <w:rsid w:val="00E92428"/>
    <w:rsid w:val="00E92527"/>
    <w:rsid w:val="00E932F9"/>
    <w:rsid w:val="00E93750"/>
    <w:rsid w:val="00E958D3"/>
    <w:rsid w:val="00E96E16"/>
    <w:rsid w:val="00EA03C6"/>
    <w:rsid w:val="00EA1797"/>
    <w:rsid w:val="00EA781C"/>
    <w:rsid w:val="00EA78FD"/>
    <w:rsid w:val="00EA79C8"/>
    <w:rsid w:val="00EB02B1"/>
    <w:rsid w:val="00EB038B"/>
    <w:rsid w:val="00EB2B3D"/>
    <w:rsid w:val="00EB3A62"/>
    <w:rsid w:val="00EB4ED6"/>
    <w:rsid w:val="00EB53CF"/>
    <w:rsid w:val="00EB6092"/>
    <w:rsid w:val="00EB656E"/>
    <w:rsid w:val="00EB79C4"/>
    <w:rsid w:val="00EB7D91"/>
    <w:rsid w:val="00EC0A6F"/>
    <w:rsid w:val="00EC1392"/>
    <w:rsid w:val="00EC18D3"/>
    <w:rsid w:val="00EC252F"/>
    <w:rsid w:val="00EC2805"/>
    <w:rsid w:val="00EC6178"/>
    <w:rsid w:val="00EC780D"/>
    <w:rsid w:val="00ED15DE"/>
    <w:rsid w:val="00ED33CF"/>
    <w:rsid w:val="00ED3462"/>
    <w:rsid w:val="00ED6594"/>
    <w:rsid w:val="00ED6755"/>
    <w:rsid w:val="00EE0B35"/>
    <w:rsid w:val="00EE1F06"/>
    <w:rsid w:val="00EE22FF"/>
    <w:rsid w:val="00EE3335"/>
    <w:rsid w:val="00EE3E27"/>
    <w:rsid w:val="00EE5B3D"/>
    <w:rsid w:val="00EE627B"/>
    <w:rsid w:val="00EF1FAC"/>
    <w:rsid w:val="00EF5B15"/>
    <w:rsid w:val="00EF5C2E"/>
    <w:rsid w:val="00EF61F7"/>
    <w:rsid w:val="00EF7684"/>
    <w:rsid w:val="00F018F8"/>
    <w:rsid w:val="00F02EA8"/>
    <w:rsid w:val="00F039BA"/>
    <w:rsid w:val="00F061C1"/>
    <w:rsid w:val="00F06600"/>
    <w:rsid w:val="00F10FF6"/>
    <w:rsid w:val="00F12703"/>
    <w:rsid w:val="00F127C8"/>
    <w:rsid w:val="00F16148"/>
    <w:rsid w:val="00F161F5"/>
    <w:rsid w:val="00F20563"/>
    <w:rsid w:val="00F2058C"/>
    <w:rsid w:val="00F20B4E"/>
    <w:rsid w:val="00F219A5"/>
    <w:rsid w:val="00F23373"/>
    <w:rsid w:val="00F23809"/>
    <w:rsid w:val="00F23CAD"/>
    <w:rsid w:val="00F24FA3"/>
    <w:rsid w:val="00F251D7"/>
    <w:rsid w:val="00F27A47"/>
    <w:rsid w:val="00F31E3D"/>
    <w:rsid w:val="00F34396"/>
    <w:rsid w:val="00F35138"/>
    <w:rsid w:val="00F35F82"/>
    <w:rsid w:val="00F36222"/>
    <w:rsid w:val="00F362AF"/>
    <w:rsid w:val="00F374F4"/>
    <w:rsid w:val="00F378FD"/>
    <w:rsid w:val="00F37D2D"/>
    <w:rsid w:val="00F403E2"/>
    <w:rsid w:val="00F432C7"/>
    <w:rsid w:val="00F44CFD"/>
    <w:rsid w:val="00F473DB"/>
    <w:rsid w:val="00F52FAE"/>
    <w:rsid w:val="00F534C6"/>
    <w:rsid w:val="00F54308"/>
    <w:rsid w:val="00F54587"/>
    <w:rsid w:val="00F567D1"/>
    <w:rsid w:val="00F5770F"/>
    <w:rsid w:val="00F61988"/>
    <w:rsid w:val="00F62257"/>
    <w:rsid w:val="00F638B8"/>
    <w:rsid w:val="00F642B7"/>
    <w:rsid w:val="00F64570"/>
    <w:rsid w:val="00F64620"/>
    <w:rsid w:val="00F65A1F"/>
    <w:rsid w:val="00F65E23"/>
    <w:rsid w:val="00F66D40"/>
    <w:rsid w:val="00F70F81"/>
    <w:rsid w:val="00F71819"/>
    <w:rsid w:val="00F7455E"/>
    <w:rsid w:val="00F746B2"/>
    <w:rsid w:val="00F747F5"/>
    <w:rsid w:val="00F762DF"/>
    <w:rsid w:val="00F7640E"/>
    <w:rsid w:val="00F815C1"/>
    <w:rsid w:val="00F81DDA"/>
    <w:rsid w:val="00F84E19"/>
    <w:rsid w:val="00F850B1"/>
    <w:rsid w:val="00F86788"/>
    <w:rsid w:val="00F9142F"/>
    <w:rsid w:val="00F9164B"/>
    <w:rsid w:val="00F950BA"/>
    <w:rsid w:val="00F96067"/>
    <w:rsid w:val="00F964EF"/>
    <w:rsid w:val="00F971FE"/>
    <w:rsid w:val="00F972F3"/>
    <w:rsid w:val="00FA0031"/>
    <w:rsid w:val="00FA01B7"/>
    <w:rsid w:val="00FA028E"/>
    <w:rsid w:val="00FA0E70"/>
    <w:rsid w:val="00FA13B0"/>
    <w:rsid w:val="00FA1CD4"/>
    <w:rsid w:val="00FA1D0D"/>
    <w:rsid w:val="00FA2B8D"/>
    <w:rsid w:val="00FA2E2A"/>
    <w:rsid w:val="00FA31B8"/>
    <w:rsid w:val="00FA52E8"/>
    <w:rsid w:val="00FB17F4"/>
    <w:rsid w:val="00FB43B0"/>
    <w:rsid w:val="00FB4553"/>
    <w:rsid w:val="00FB5F0B"/>
    <w:rsid w:val="00FB6670"/>
    <w:rsid w:val="00FB6B41"/>
    <w:rsid w:val="00FB7657"/>
    <w:rsid w:val="00FC23F6"/>
    <w:rsid w:val="00FC2424"/>
    <w:rsid w:val="00FC3528"/>
    <w:rsid w:val="00FC4759"/>
    <w:rsid w:val="00FD1AD5"/>
    <w:rsid w:val="00FD4BEB"/>
    <w:rsid w:val="00FD4FC4"/>
    <w:rsid w:val="00FD78DD"/>
    <w:rsid w:val="00FD7DA7"/>
    <w:rsid w:val="00FE0149"/>
    <w:rsid w:val="00FE0BD9"/>
    <w:rsid w:val="00FE4908"/>
    <w:rsid w:val="00FE4AE5"/>
    <w:rsid w:val="00FE52D6"/>
    <w:rsid w:val="00FE5D66"/>
    <w:rsid w:val="00FE7B5F"/>
    <w:rsid w:val="00FE7DAF"/>
    <w:rsid w:val="00FF150B"/>
    <w:rsid w:val="00FF37EA"/>
    <w:rsid w:val="00FF3BD1"/>
    <w:rsid w:val="00FF3CFB"/>
    <w:rsid w:val="00FF4EB3"/>
    <w:rsid w:val="00FF67A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55"/>
    <w:pPr>
      <w:spacing w:line="240" w:lineRule="auto"/>
    </w:pPr>
    <w:rPr>
      <w:rFonts w:ascii="Arial" w:hAnsi="Arial"/>
    </w:rPr>
  </w:style>
  <w:style w:type="paragraph" w:styleId="Heading1">
    <w:name w:val="heading 1"/>
    <w:aliases w:val="Red Heading 1"/>
    <w:basedOn w:val="Normal"/>
    <w:next w:val="Normal"/>
    <w:link w:val="Heading1Char"/>
    <w:uiPriority w:val="9"/>
    <w:qFormat/>
    <w:rsid w:val="00882F80"/>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qFormat/>
    <w:rsid w:val="003352F5"/>
    <w:pPr>
      <w:keepNext/>
      <w:keepLines/>
      <w:spacing w:before="40"/>
      <w:outlineLvl w:val="1"/>
    </w:pPr>
    <w:rPr>
      <w:rFonts w:eastAsiaTheme="majorEastAsia" w:cs="Arial"/>
      <w:sz w:val="24"/>
      <w:szCs w:val="24"/>
    </w:rPr>
  </w:style>
  <w:style w:type="paragraph" w:styleId="Heading3">
    <w:name w:val="heading 3"/>
    <w:basedOn w:val="Normal"/>
    <w:next w:val="Normal"/>
    <w:link w:val="Heading3Char"/>
    <w:uiPriority w:val="9"/>
    <w:qFormat/>
    <w:rsid w:val="003352F5"/>
    <w:pPr>
      <w:keepNext/>
      <w:keepLines/>
      <w:spacing w:before="40"/>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qFormat/>
    <w:rsid w:val="00504357"/>
    <w:pPr>
      <w:keepNext/>
      <w:keepLines/>
      <w:spacing w:before="40"/>
      <w:outlineLvl w:val="3"/>
    </w:pPr>
    <w:rPr>
      <w:rFonts w:eastAsiaTheme="majorEastAsi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504357"/>
    <w:rPr>
      <w:rFonts w:ascii="Arial" w:eastAsiaTheme="majorEastAsia" w:hAnsi="Arial" w:cs="Arial"/>
      <w:sz w:val="24"/>
      <w:szCs w:val="24"/>
    </w:rPr>
  </w:style>
  <w:style w:type="character" w:customStyle="1" w:styleId="Heading3Char">
    <w:name w:val="Heading 3 Char"/>
    <w:basedOn w:val="DefaultParagraphFont"/>
    <w:link w:val="Heading3"/>
    <w:uiPriority w:val="9"/>
    <w:rsid w:val="00504357"/>
    <w:rPr>
      <w:rFonts w:ascii="Arial" w:eastAsiaTheme="majorEastAsia" w:hAnsi="Arial" w:cstheme="majorBidi"/>
      <w:b/>
      <w:i/>
      <w:color w:val="000000" w:themeColor="text1"/>
      <w:szCs w:val="24"/>
    </w:rPr>
  </w:style>
  <w:style w:type="character" w:customStyle="1" w:styleId="Heading4Char">
    <w:name w:val="Heading 4 Char"/>
    <w:basedOn w:val="DefaultParagraphFont"/>
    <w:link w:val="Heading4"/>
    <w:uiPriority w:val="9"/>
    <w:rsid w:val="00504357"/>
    <w:rPr>
      <w:rFonts w:ascii="Arial" w:eastAsiaTheme="majorEastAsia" w:hAnsi="Arial" w:cs="Arial"/>
      <w:i/>
      <w:iCs/>
    </w:rPr>
  </w:style>
  <w:style w:type="paragraph" w:customStyle="1" w:styleId="MoECoverPageHeading">
    <w:name w:val="MoE: Cover Page Heading"/>
    <w:basedOn w:val="Normal"/>
    <w:link w:val="MoECoverPageHeadingChar"/>
    <w:qFormat/>
    <w:rsid w:val="00597A0A"/>
    <w:pPr>
      <w:spacing w:after="120" w:line="240" w:lineRule="atLeast"/>
    </w:pPr>
    <w:rPr>
      <w:rFonts w:cs="Arial"/>
      <w:b/>
      <w:color w:val="3F92CF"/>
      <w:sz w:val="56"/>
      <w:szCs w:val="56"/>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cs="Arial"/>
      <w:color w:val="3F92CF"/>
      <w:sz w:val="28"/>
      <w:szCs w:val="28"/>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1">
    <w:name w:val="MoE: Heading 1"/>
    <w:basedOn w:val="Heading1"/>
    <w:next w:val="MoEBodyText"/>
    <w:link w:val="MoEHeading1Char"/>
    <w:qFormat/>
    <w:rsid w:val="006735D7"/>
    <w:pPr>
      <w:spacing w:before="0"/>
      <w:jc w:val="both"/>
    </w:pPr>
    <w:rPr>
      <w:rFonts w:ascii="Arial" w:hAnsi="Arial" w:cs="Arial"/>
      <w:b/>
      <w:color w:val="2A6EBB"/>
      <w:sz w:val="24"/>
      <w:szCs w:val="44"/>
    </w:rPr>
  </w:style>
  <w:style w:type="paragraph" w:customStyle="1" w:styleId="MoEBodyText">
    <w:name w:val="MoE: Body Text"/>
    <w:basedOn w:val="Normal"/>
    <w:link w:val="MoEBodyTextChar"/>
    <w:qFormat/>
    <w:rsid w:val="00882F80"/>
    <w:pPr>
      <w:spacing w:after="240" w:line="240" w:lineRule="atLeast"/>
    </w:pPr>
    <w:rPr>
      <w:sz w:val="20"/>
      <w:szCs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MoEHeading2Char">
    <w:name w:val="MoE: Heading 2 Char"/>
    <w:basedOn w:val="MoEHeading1Char"/>
    <w:link w:val="MoEHeading2"/>
    <w:rsid w:val="004A2B55"/>
    <w:rPr>
      <w:rFonts w:ascii="Arial" w:eastAsiaTheme="majorEastAsia" w:hAnsi="Arial" w:cs="Arial"/>
      <w:b/>
      <w:color w:val="2A6EBB"/>
      <w:sz w:val="24"/>
      <w:szCs w:val="24"/>
    </w:rPr>
  </w:style>
  <w:style w:type="character" w:customStyle="1" w:styleId="MoEHeading1Char">
    <w:name w:val="MoE: Heading 1 Char"/>
    <w:basedOn w:val="DefaultParagraphFont"/>
    <w:link w:val="MoEHeading1"/>
    <w:rsid w:val="006735D7"/>
    <w:rPr>
      <w:rFonts w:ascii="Arial" w:eastAsiaTheme="majorEastAsia" w:hAnsi="Arial" w:cs="Arial"/>
      <w:b/>
      <w:color w:val="2A6EBB"/>
      <w:sz w:val="24"/>
      <w:szCs w:val="44"/>
    </w:rPr>
  </w:style>
  <w:style w:type="paragraph" w:customStyle="1" w:styleId="MoEHeading2">
    <w:name w:val="MoE: Heading 2"/>
    <w:basedOn w:val="Heading2"/>
    <w:next w:val="MoEBodyText"/>
    <w:link w:val="MoEHeading2Char"/>
    <w:qFormat/>
    <w:rsid w:val="004A2B55"/>
    <w:pPr>
      <w:spacing w:before="0"/>
    </w:pPr>
    <w:rPr>
      <w:b/>
      <w:sz w:val="22"/>
    </w:rPr>
  </w:style>
  <w:style w:type="paragraph" w:customStyle="1" w:styleId="MoEHeading3">
    <w:name w:val="MoE: Heading 3"/>
    <w:basedOn w:val="Heading3"/>
    <w:next w:val="MoEBodyText"/>
    <w:link w:val="MoEHeading3Char"/>
    <w:qFormat/>
    <w:rsid w:val="00BA4D4E"/>
  </w:style>
  <w:style w:type="character" w:customStyle="1" w:styleId="MoEHeading3Char">
    <w:name w:val="MoE: Heading 3 Char"/>
    <w:basedOn w:val="Heading3Char"/>
    <w:link w:val="MoEHeading3"/>
    <w:rsid w:val="00BA4D4E"/>
    <w:rPr>
      <w:rFonts w:ascii="Arial" w:eastAsiaTheme="majorEastAsia" w:hAnsi="Arial" w:cstheme="majorBidi"/>
      <w:b/>
      <w:i/>
      <w:color w:val="000000" w:themeColor="text1"/>
      <w:szCs w:val="24"/>
    </w:rPr>
  </w:style>
  <w:style w:type="paragraph" w:customStyle="1" w:styleId="MoEHeading4">
    <w:name w:val="MoE: Heading 4"/>
    <w:basedOn w:val="Heading4"/>
    <w:next w:val="MoEBodyText"/>
    <w:link w:val="MoEHeading4Char"/>
    <w:qFormat/>
    <w:rsid w:val="00BA4D4E"/>
  </w:style>
  <w:style w:type="character" w:customStyle="1" w:styleId="MoEHeading4Char">
    <w:name w:val="MoE: Heading 4 Char"/>
    <w:basedOn w:val="Heading4Char"/>
    <w:link w:val="MoEHeading4"/>
    <w:rsid w:val="00BA4D4E"/>
    <w:rPr>
      <w:rFonts w:ascii="Arial" w:eastAsiaTheme="majorEastAsia" w:hAnsi="Arial" w:cs="Arial"/>
      <w:i/>
      <w:iCs/>
    </w:rPr>
  </w:style>
  <w:style w:type="paragraph" w:styleId="Header">
    <w:name w:val="header"/>
    <w:basedOn w:val="Normal"/>
    <w:link w:val="HeaderChar"/>
    <w:rsid w:val="00882F80"/>
    <w:pPr>
      <w:tabs>
        <w:tab w:val="center" w:pos="4513"/>
        <w:tab w:val="right" w:pos="9026"/>
      </w:tabs>
    </w:pPr>
  </w:style>
  <w:style w:type="character" w:customStyle="1" w:styleId="HeaderChar">
    <w:name w:val="Header Char"/>
    <w:basedOn w:val="DefaultParagraphFont"/>
    <w:link w:val="Header"/>
    <w:rsid w:val="00FE5D66"/>
  </w:style>
  <w:style w:type="paragraph" w:styleId="Footer">
    <w:name w:val="footer"/>
    <w:basedOn w:val="Normal"/>
    <w:link w:val="FooterChar"/>
    <w:uiPriority w:val="99"/>
    <w:rsid w:val="00882F80"/>
    <w:pPr>
      <w:tabs>
        <w:tab w:val="center" w:pos="4513"/>
        <w:tab w:val="right" w:pos="9026"/>
      </w:tabs>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cs="Arial"/>
      <w:b/>
      <w:noProof/>
      <w:color w:val="3F92CF"/>
      <w:sz w:val="18"/>
      <w:szCs w:val="18"/>
      <w:lang w:eastAsia="en-NZ"/>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cs="Arial"/>
      <w:color w:val="3F92CF"/>
      <w:sz w:val="18"/>
      <w:szCs w:val="18"/>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odyTextBold">
    <w:name w:val="MoE: Body Text (Bold)"/>
    <w:basedOn w:val="MoEBodyText"/>
    <w:next w:val="MoEBodyText"/>
    <w:link w:val="MoEBodyTextBoldChar"/>
    <w:qFormat/>
    <w:rsid w:val="00A624B0"/>
    <w:rPr>
      <w:b/>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1">
    <w:name w:val="MoE: Bulleted List (Level 1)"/>
    <w:basedOn w:val="ListBullet"/>
    <w:link w:val="MoEBulletedListLevel1Char"/>
    <w:qFormat/>
    <w:rsid w:val="00FE5D66"/>
    <w:pPr>
      <w:numPr>
        <w:numId w:val="1"/>
      </w:numPr>
      <w:spacing w:line="240" w:lineRule="atLeast"/>
    </w:pPr>
    <w:rPr>
      <w:sz w:val="20"/>
    </w:rPr>
  </w:style>
  <w:style w:type="paragraph" w:styleId="ListBullet">
    <w:name w:val="List Bullet"/>
    <w:basedOn w:val="Normal"/>
    <w:link w:val="ListBulletChar"/>
    <w:uiPriority w:val="99"/>
    <w:semiHidden/>
    <w:rsid w:val="00FE5D66"/>
    <w:pPr>
      <w:numPr>
        <w:numId w:val="2"/>
      </w:numPr>
      <w:contextualSpacing/>
    </w:pPr>
  </w:style>
  <w:style w:type="character" w:customStyle="1" w:styleId="ListBulletChar">
    <w:name w:val="List Bullet Char"/>
    <w:basedOn w:val="DefaultParagraphFont"/>
    <w:link w:val="ListBullet"/>
    <w:uiPriority w:val="99"/>
    <w:semiHidden/>
    <w:rsid w:val="00330021"/>
    <w:rPr>
      <w:rFonts w:ascii="Arial" w:hAnsi="Arial"/>
    </w:rPr>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BulletedListLevel2">
    <w:name w:val="MoE: Bulleted List (Level 2)"/>
    <w:basedOn w:val="ListBullet2"/>
    <w:link w:val="MoEBulletedListLevel2Char"/>
    <w:qFormat/>
    <w:rsid w:val="00A624B0"/>
    <w:pPr>
      <w:numPr>
        <w:numId w:val="4"/>
      </w:numPr>
      <w:spacing w:after="240"/>
    </w:pPr>
    <w:rPr>
      <w:sz w:val="20"/>
    </w:rPr>
  </w:style>
  <w:style w:type="paragraph" w:styleId="ListBullet2">
    <w:name w:val="List Bullet 2"/>
    <w:basedOn w:val="Normal"/>
    <w:link w:val="ListBullet2Char"/>
    <w:uiPriority w:val="99"/>
    <w:semiHidden/>
    <w:rsid w:val="00A624B0"/>
    <w:pPr>
      <w:numPr>
        <w:numId w:val="3"/>
      </w:numPr>
      <w:contextualSpacing/>
    </w:pPr>
  </w:style>
  <w:style w:type="character" w:customStyle="1" w:styleId="ListBullet2Char">
    <w:name w:val="List Bullet 2 Char"/>
    <w:basedOn w:val="DefaultParagraphFont"/>
    <w:link w:val="ListBullet2"/>
    <w:uiPriority w:val="99"/>
    <w:semiHidden/>
    <w:rsid w:val="00330021"/>
    <w:rPr>
      <w:rFonts w:ascii="Arial" w:hAnsi="Arial"/>
    </w:rPr>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customStyle="1" w:styleId="MoENumberedList">
    <w:name w:val="MoE: Numbered List"/>
    <w:basedOn w:val="ListNumber"/>
    <w:link w:val="MoENumberedListChar"/>
    <w:qFormat/>
    <w:rsid w:val="00D46ECE"/>
    <w:pPr>
      <w:numPr>
        <w:numId w:val="5"/>
      </w:numPr>
      <w:spacing w:after="240"/>
    </w:pPr>
    <w:rPr>
      <w:sz w:val="20"/>
    </w:rPr>
  </w:style>
  <w:style w:type="paragraph" w:styleId="ListNumber">
    <w:name w:val="List Number"/>
    <w:basedOn w:val="Normal"/>
    <w:link w:val="ListNumberChar"/>
    <w:uiPriority w:val="99"/>
    <w:semiHidden/>
    <w:rsid w:val="00D46ECE"/>
    <w:pPr>
      <w:numPr>
        <w:numId w:val="6"/>
      </w:numPr>
      <w:contextualSpacing/>
    </w:pPr>
  </w:style>
  <w:style w:type="character" w:customStyle="1" w:styleId="ListNumberChar">
    <w:name w:val="List Number Char"/>
    <w:basedOn w:val="DefaultParagraphFont"/>
    <w:link w:val="ListNumber"/>
    <w:uiPriority w:val="99"/>
    <w:semiHidden/>
    <w:rsid w:val="00330021"/>
    <w:rPr>
      <w:rFonts w:ascii="Arial" w:hAnsi="Arial"/>
    </w:rPr>
  </w:style>
  <w:style w:type="character" w:customStyle="1" w:styleId="MoENumberedListChar">
    <w:name w:val="MoE: Numbered List Char"/>
    <w:basedOn w:val="ListNumberChar"/>
    <w:link w:val="MoENumberedList"/>
    <w:rsid w:val="00D46ECE"/>
    <w:rPr>
      <w:rFonts w:ascii="Arial" w:hAnsi="Arial"/>
      <w:sz w:val="20"/>
    </w:rPr>
  </w:style>
  <w:style w:type="paragraph" w:styleId="EndnoteText">
    <w:name w:val="endnote text"/>
    <w:basedOn w:val="Normal"/>
    <w:link w:val="EndnoteTextChar"/>
    <w:uiPriority w:val="99"/>
    <w:semiHidden/>
    <w:rsid w:val="00D46ECE"/>
    <w:rPr>
      <w:sz w:val="20"/>
      <w:szCs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cs="Arial"/>
      <w:sz w:val="16"/>
      <w:szCs w:val="16"/>
    </w:rPr>
  </w:style>
  <w:style w:type="character" w:customStyle="1" w:styleId="MoEFootnoteChar">
    <w:name w:val="MoE: Footnote Char"/>
    <w:basedOn w:val="EndnoteTextChar"/>
    <w:link w:val="MoEFootnote"/>
    <w:rsid w:val="00D46ECE"/>
    <w:rPr>
      <w:rFonts w:ascii="Arial" w:hAnsi="Arial" w:cs="Arial"/>
      <w:sz w:val="16"/>
      <w:szCs w:val="16"/>
    </w:rPr>
  </w:style>
  <w:style w:type="paragraph" w:styleId="FootnoteText">
    <w:name w:val="footnote text"/>
    <w:basedOn w:val="Normal"/>
    <w:link w:val="FootnoteTextChar"/>
    <w:uiPriority w:val="99"/>
    <w:rsid w:val="006D1CD7"/>
    <w:pPr>
      <w:spacing w:before="60"/>
    </w:pPr>
    <w:rPr>
      <w:sz w:val="20"/>
      <w:szCs w:val="20"/>
    </w:rPr>
  </w:style>
  <w:style w:type="character" w:customStyle="1" w:styleId="FootnoteTextChar">
    <w:name w:val="Footnote Text Char"/>
    <w:basedOn w:val="DefaultParagraphFont"/>
    <w:link w:val="FootnoteText"/>
    <w:uiPriority w:val="99"/>
    <w:rsid w:val="006D1CD7"/>
    <w:rPr>
      <w:rFonts w:ascii="Arial" w:hAnsi="Arial"/>
      <w:sz w:val="20"/>
      <w:szCs w:val="20"/>
    </w:rPr>
  </w:style>
  <w:style w:type="character" w:styleId="FootnoteReference">
    <w:name w:val="footnote reference"/>
    <w:basedOn w:val="DefaultParagraphFont"/>
    <w:uiPriority w:val="99"/>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cs="Arial"/>
      <w:color w:val="FFFFFF" w:themeColor="background1"/>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pPr>
    <w:rPr>
      <w:rFonts w:ascii="Times New Roman" w:eastAsiaTheme="minorEastAsia" w:hAnsi="Times New Roman" w:cs="Times New Roman"/>
      <w:sz w:val="24"/>
      <w:szCs w:val="24"/>
      <w:lang w:eastAsia="en-NZ"/>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Ind w:w="0" w:type="dxa"/>
      <w:tblBorders>
        <w:insideV w:val="single" w:sz="8" w:space="0" w:color="D9D9D9" w:themeColor="background1" w:themeShade="D9"/>
      </w:tblBorders>
      <w:tblCellMar>
        <w:top w:w="0" w:type="dxa"/>
        <w:left w:w="108" w:type="dxa"/>
        <w:bottom w:w="0" w:type="dxa"/>
        <w:right w:w="108" w:type="dxa"/>
      </w:tblCellMar>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table" w:customStyle="1" w:styleId="reversedgrey">
    <w:name w:val="reversed grey"/>
    <w:basedOn w:val="TableNormal"/>
    <w:uiPriority w:val="99"/>
    <w:rsid w:val="005D28C9"/>
    <w:pPr>
      <w:spacing w:before="120" w:line="240" w:lineRule="auto"/>
      <w:ind w:left="113"/>
    </w:pPr>
    <w:rPr>
      <w:rFonts w:ascii="Arial" w:hAnsi="Arial"/>
      <w:sz w:val="20"/>
    </w:rPr>
    <w:tblPr>
      <w:tblStyleRowBandSize w:val="1"/>
      <w:tblInd w:w="0" w:type="dxa"/>
      <w:tblBorders>
        <w:insideV w:val="single" w:sz="8" w:space="0" w:color="D9D9D9" w:themeColor="background1" w:themeShade="D9"/>
      </w:tblBorders>
      <w:tblCellMar>
        <w:top w:w="0" w:type="dxa"/>
        <w:left w:w="108" w:type="dxa"/>
        <w:bottom w:w="0" w:type="dxa"/>
        <w:right w:w="108" w:type="dxa"/>
      </w:tblCellMar>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paragraph" w:styleId="TOC1">
    <w:name w:val="toc 1"/>
    <w:basedOn w:val="Normal"/>
    <w:next w:val="Normal"/>
    <w:autoRedefine/>
    <w:uiPriority w:val="39"/>
    <w:qFormat/>
    <w:rsid w:val="0088486C"/>
    <w:pPr>
      <w:tabs>
        <w:tab w:val="right" w:leader="dot" w:pos="9923"/>
      </w:tabs>
      <w:spacing w:after="100"/>
    </w:pPr>
    <w:rPr>
      <w:b/>
      <w:color w:val="3F92CF"/>
    </w:rPr>
  </w:style>
  <w:style w:type="paragraph" w:styleId="TOC2">
    <w:name w:val="toc 2"/>
    <w:basedOn w:val="Normal"/>
    <w:next w:val="Normal"/>
    <w:autoRedefine/>
    <w:uiPriority w:val="39"/>
    <w:qFormat/>
    <w:rsid w:val="00DA30FC"/>
    <w:pPr>
      <w:tabs>
        <w:tab w:val="right" w:leader="dot" w:pos="9923"/>
      </w:tabs>
      <w:spacing w:after="100"/>
      <w:ind w:left="227" w:right="227"/>
    </w:pPr>
    <w:rPr>
      <w:sz w:val="20"/>
    </w:rPr>
  </w:style>
  <w:style w:type="paragraph" w:styleId="TOC3">
    <w:name w:val="toc 3"/>
    <w:basedOn w:val="Normal"/>
    <w:next w:val="Normal"/>
    <w:autoRedefine/>
    <w:uiPriority w:val="39"/>
    <w:qFormat/>
    <w:rsid w:val="0031589C"/>
    <w:pPr>
      <w:tabs>
        <w:tab w:val="right" w:leader="dot" w:pos="9923"/>
      </w:tabs>
      <w:spacing w:after="100"/>
      <w:ind w:left="454" w:right="170"/>
    </w:pPr>
    <w:rPr>
      <w:sz w:val="20"/>
    </w:rPr>
  </w:style>
  <w:style w:type="character" w:styleId="Hyperlink">
    <w:name w:val="Hyperlink"/>
    <w:basedOn w:val="DefaultParagraphFont"/>
    <w:uiPriority w:val="99"/>
    <w:rsid w:val="00DA30FC"/>
    <w:rPr>
      <w:color w:val="9454C3" w:themeColor="hyperlink"/>
      <w:u w:val="single"/>
    </w:rPr>
  </w:style>
  <w:style w:type="paragraph" w:customStyle="1" w:styleId="FeatureTextinbox">
    <w:name w:val="Feature Text in box"/>
    <w:basedOn w:val="Normal"/>
    <w:qFormat/>
    <w:rsid w:val="00597A0A"/>
    <w:pPr>
      <w:spacing w:after="120" w:line="240" w:lineRule="atLeast"/>
    </w:pPr>
    <w:rPr>
      <w:rFonts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Ind w:w="0"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line="240" w:lineRule="auto"/>
      <w:ind w:left="113"/>
    </w:pPr>
    <w:rPr>
      <w:rFonts w:ascii="Arial" w:hAnsi="Arial"/>
      <w:sz w:val="20"/>
    </w:rPr>
    <w:tblPr>
      <w:tblInd w:w="0" w:type="dxa"/>
      <w:tblBorders>
        <w:insideH w:val="single" w:sz="48" w:space="0" w:color="FFFFFF" w:themeColor="background1"/>
        <w:insideV w:val="single" w:sz="8" w:space="0" w:color="D9D9D9" w:themeColor="background1" w:themeShade="D9"/>
      </w:tblBorders>
      <w:tblCellMar>
        <w:top w:w="0" w:type="dxa"/>
        <w:left w:w="108" w:type="dxa"/>
        <w:bottom w:w="0" w:type="dxa"/>
        <w:right w:w="108" w:type="dxa"/>
      </w:tblCellMar>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line="240" w:lineRule="auto"/>
      <w:ind w:left="113"/>
    </w:pPr>
    <w:rPr>
      <w:rFonts w:ascii="Arial" w:hAnsi="Arial"/>
      <w:sz w:val="20"/>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7"/>
      </w:numPr>
      <w:tabs>
        <w:tab w:val="num" w:pos="360"/>
      </w:tabs>
      <w:suppressAutoHyphens/>
      <w:spacing w:after="240"/>
      <w:ind w:left="0" w:firstLine="0"/>
    </w:pPr>
    <w:rPr>
      <w:rFonts w:ascii="Arial" w:hAnsi="Arial"/>
      <w:spacing w:val="5"/>
      <w:sz w:val="20"/>
      <w:szCs w:val="20"/>
    </w:rPr>
  </w:style>
  <w:style w:type="paragraph" w:styleId="Title">
    <w:name w:val="Title"/>
    <w:basedOn w:val="Normal"/>
    <w:next w:val="Normal"/>
    <w:link w:val="TitleChar"/>
    <w:uiPriority w:val="10"/>
    <w:semiHidden/>
    <w:qFormat/>
    <w:rsid w:val="00E756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paragraph" w:customStyle="1" w:styleId="BlueHeading1">
    <w:name w:val="Blue Heading 1"/>
    <w:basedOn w:val="Heading1"/>
    <w:qFormat/>
    <w:rsid w:val="00E756D6"/>
    <w:pPr>
      <w:spacing w:before="0" w:after="840"/>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bCs/>
      <w:color w:val="3472AC"/>
      <w:sz w:val="20"/>
      <w:szCs w:val="22"/>
    </w:rPr>
  </w:style>
  <w:style w:type="paragraph" w:customStyle="1" w:styleId="BlueHeading1Non-Contents">
    <w:name w:val="Blue Heading 1 Non-Contents"/>
    <w:basedOn w:val="BlueHeading1"/>
    <w:qFormat/>
    <w:rsid w:val="00E756D6"/>
  </w:style>
  <w:style w:type="table" w:customStyle="1" w:styleId="GridTable2-Accent21">
    <w:name w:val="Grid Table 2 - Accent 21"/>
    <w:basedOn w:val="TableNormal"/>
    <w:uiPriority w:val="47"/>
    <w:rsid w:val="005D28C9"/>
    <w:pPr>
      <w:spacing w:line="240" w:lineRule="auto"/>
    </w:pPr>
    <w:tblPr>
      <w:tblStyleRowBandSize w:val="1"/>
      <w:tblStyleColBandSize w:val="1"/>
      <w:tblInd w:w="0" w:type="dxa"/>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CellMar>
        <w:top w:w="0" w:type="dxa"/>
        <w:left w:w="108" w:type="dxa"/>
        <w:bottom w:w="0" w:type="dxa"/>
        <w:right w:w="108" w:type="dxa"/>
      </w:tblCellMar>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alloonText">
    <w:name w:val="Balloon Text"/>
    <w:basedOn w:val="Normal"/>
    <w:link w:val="BalloonTextChar"/>
    <w:uiPriority w:val="99"/>
    <w:semiHidden/>
    <w:rsid w:val="00E729B6"/>
    <w:rPr>
      <w:rFonts w:ascii="Tahoma" w:hAnsi="Tahoma" w:cs="Tahoma"/>
      <w:sz w:val="16"/>
      <w:szCs w:val="16"/>
    </w:rPr>
  </w:style>
  <w:style w:type="character" w:customStyle="1" w:styleId="BalloonTextChar">
    <w:name w:val="Balloon Text Char"/>
    <w:basedOn w:val="DefaultParagraphFont"/>
    <w:link w:val="BalloonText"/>
    <w:uiPriority w:val="99"/>
    <w:semiHidden/>
    <w:rsid w:val="00E729B6"/>
    <w:rPr>
      <w:rFonts w:ascii="Tahoma" w:hAnsi="Tahoma" w:cs="Tahoma"/>
      <w:sz w:val="16"/>
      <w:szCs w:val="16"/>
    </w:rPr>
  </w:style>
  <w:style w:type="paragraph" w:styleId="ListParagraph">
    <w:name w:val="List Paragraph"/>
    <w:aliases w:val="List Paragraph numbered,List Bullet indent,List Paragraph1,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912207"/>
    <w:pPr>
      <w:ind w:left="720"/>
    </w:pPr>
    <w:rPr>
      <w:rFonts w:eastAsia="Times New Roman" w:cs="Times New Roman"/>
    </w:rPr>
  </w:style>
  <w:style w:type="character" w:customStyle="1" w:styleId="ListParagraphChar">
    <w:name w:val="List Paragraph Char"/>
    <w:aliases w:val="List Paragraph numbered Char,List Bullet indent Char,List Paragraph1 Char,Bullet List Char,FooterText Char,numbered Char,Paragraphe de liste1 Char,Bulletr List Paragraph Char,列出段落 Char,列出段落1 Char,Listeafsnit1 Char,リスト段落1 Char"/>
    <w:basedOn w:val="DefaultParagraphFont"/>
    <w:link w:val="ListParagraph"/>
    <w:uiPriority w:val="34"/>
    <w:locked/>
    <w:rsid w:val="00912207"/>
    <w:rPr>
      <w:rFonts w:ascii="Arial" w:eastAsia="Times New Roman" w:hAnsi="Arial" w:cs="Times New Roman"/>
    </w:rPr>
  </w:style>
  <w:style w:type="paragraph" w:customStyle="1" w:styleId="Bullet1">
    <w:name w:val="Bullet 1"/>
    <w:basedOn w:val="Normal"/>
    <w:qFormat/>
    <w:rsid w:val="00C939EB"/>
    <w:pPr>
      <w:numPr>
        <w:numId w:val="8"/>
      </w:numPr>
      <w:spacing w:before="120" w:after="180"/>
    </w:pPr>
    <w:rPr>
      <w:rFonts w:eastAsia="Times New Roman" w:cs="Times New Roman"/>
      <w:szCs w:val="20"/>
    </w:rPr>
  </w:style>
  <w:style w:type="paragraph" w:customStyle="1" w:styleId="Bullet2">
    <w:name w:val="Bullet 2"/>
    <w:qFormat/>
    <w:rsid w:val="00C939EB"/>
    <w:pPr>
      <w:tabs>
        <w:tab w:val="num" w:pos="567"/>
      </w:tabs>
      <w:spacing w:after="120" w:line="240" w:lineRule="auto"/>
      <w:ind w:left="567" w:hanging="283"/>
    </w:pPr>
    <w:rPr>
      <w:rFonts w:ascii="Arial" w:eastAsia="Times New Roman" w:hAnsi="Arial" w:cs="Times New Roman"/>
      <w:szCs w:val="20"/>
    </w:rPr>
  </w:style>
  <w:style w:type="paragraph" w:customStyle="1" w:styleId="TRNormal">
    <w:name w:val="_TRNormal"/>
    <w:rsid w:val="00EB4ED6"/>
    <w:pPr>
      <w:spacing w:line="240" w:lineRule="auto"/>
      <w:ind w:left="567" w:hanging="567"/>
    </w:pPr>
    <w:rPr>
      <w:rFonts w:ascii="Arial" w:eastAsia="Times New Roman" w:hAnsi="Arial" w:cs="Times New Roman"/>
      <w:szCs w:val="20"/>
    </w:rPr>
  </w:style>
  <w:style w:type="character" w:styleId="Strong">
    <w:name w:val="Strong"/>
    <w:basedOn w:val="DefaultParagraphFont"/>
    <w:uiPriority w:val="22"/>
    <w:qFormat/>
    <w:rsid w:val="00494D43"/>
    <w:rPr>
      <w:b/>
      <w:bCs/>
    </w:rPr>
  </w:style>
  <w:style w:type="character" w:customStyle="1" w:styleId="s22">
    <w:name w:val="s22"/>
    <w:basedOn w:val="DefaultParagraphFont"/>
    <w:rsid w:val="00494D43"/>
    <w:rPr>
      <w:vanish w:val="0"/>
      <w:webHidden w:val="0"/>
      <w:specVanish w:val="0"/>
    </w:rPr>
  </w:style>
  <w:style w:type="character" w:customStyle="1" w:styleId="apple-converted-space">
    <w:name w:val="apple-converted-space"/>
    <w:basedOn w:val="DefaultParagraphFont"/>
    <w:rsid w:val="005A65B3"/>
  </w:style>
  <w:style w:type="paragraph" w:customStyle="1" w:styleId="TableText">
    <w:name w:val="Table Text"/>
    <w:uiPriority w:val="99"/>
    <w:qFormat/>
    <w:rsid w:val="00C30A48"/>
    <w:pPr>
      <w:spacing w:before="60" w:after="60" w:line="240" w:lineRule="auto"/>
    </w:pPr>
    <w:rPr>
      <w:rFonts w:ascii="Arial" w:eastAsia="Times New Roman" w:hAnsi="Arial" w:cs="Times New Roman"/>
      <w:szCs w:val="20"/>
    </w:rPr>
  </w:style>
  <w:style w:type="paragraph" w:customStyle="1" w:styleId="TableHeader">
    <w:name w:val="Table Header"/>
    <w:qFormat/>
    <w:rsid w:val="00C30A48"/>
    <w:pPr>
      <w:spacing w:before="60" w:after="60" w:line="240" w:lineRule="auto"/>
    </w:pPr>
    <w:rPr>
      <w:rFonts w:ascii="Arial" w:eastAsia="Times New Roman" w:hAnsi="Arial" w:cs="Times New Roman"/>
      <w:b/>
      <w:color w:val="003865"/>
      <w:szCs w:val="20"/>
    </w:rPr>
  </w:style>
  <w:style w:type="paragraph" w:customStyle="1" w:styleId="TableBullet1">
    <w:name w:val="Table Bullet 1"/>
    <w:qFormat/>
    <w:rsid w:val="00C30A48"/>
    <w:pPr>
      <w:numPr>
        <w:numId w:val="9"/>
      </w:numPr>
      <w:tabs>
        <w:tab w:val="left" w:pos="284"/>
      </w:tabs>
      <w:spacing w:before="60" w:after="60" w:line="240" w:lineRule="auto"/>
      <w:ind w:left="284" w:hanging="284"/>
    </w:pPr>
    <w:rPr>
      <w:rFonts w:ascii="Arial" w:eastAsia="Times New Roman" w:hAnsi="Arial" w:cs="Times New Roman"/>
      <w:sz w:val="20"/>
      <w:szCs w:val="20"/>
    </w:rPr>
  </w:style>
  <w:style w:type="paragraph" w:customStyle="1" w:styleId="TOCTitle">
    <w:name w:val="TOC Title"/>
    <w:next w:val="Normal"/>
    <w:rsid w:val="00C30A48"/>
    <w:pPr>
      <w:shd w:val="clear" w:color="auto" w:fill="D7EAF9"/>
      <w:spacing w:before="240" w:after="240" w:line="240" w:lineRule="auto"/>
    </w:pPr>
    <w:rPr>
      <w:rFonts w:ascii="Arial" w:eastAsia="Times New Roman" w:hAnsi="Arial" w:cs="Times New Roman"/>
      <w:b/>
      <w:color w:val="003865"/>
      <w:sz w:val="28"/>
      <w:szCs w:val="20"/>
    </w:rPr>
  </w:style>
  <w:style w:type="paragraph" w:customStyle="1" w:styleId="DocInfo">
    <w:name w:val="DocInfo"/>
    <w:rsid w:val="00C30A48"/>
    <w:pPr>
      <w:spacing w:before="240" w:line="240" w:lineRule="auto"/>
    </w:pPr>
    <w:rPr>
      <w:rFonts w:ascii="Arial" w:eastAsia="Times New Roman" w:hAnsi="Arial" w:cs="Times New Roman"/>
      <w:b/>
      <w:bCs/>
      <w:iCs/>
      <w:color w:val="003865"/>
      <w:sz w:val="24"/>
      <w:szCs w:val="20"/>
    </w:rPr>
  </w:style>
  <w:style w:type="paragraph" w:styleId="Caption">
    <w:name w:val="caption"/>
    <w:basedOn w:val="Normal"/>
    <w:next w:val="Normal"/>
    <w:uiPriority w:val="35"/>
    <w:unhideWhenUsed/>
    <w:qFormat/>
    <w:rsid w:val="00E53002"/>
    <w:rPr>
      <w:rFonts w:ascii="Tahoma" w:eastAsia="Times New Roman" w:hAnsi="Tahoma" w:cs="Times New Roman"/>
      <w:b/>
      <w:bCs/>
      <w:color w:val="4A66AC" w:themeColor="accent1"/>
      <w:sz w:val="18"/>
      <w:szCs w:val="18"/>
      <w:lang w:val="en-AU"/>
    </w:rPr>
  </w:style>
  <w:style w:type="character" w:styleId="Emphasis">
    <w:name w:val="Emphasis"/>
    <w:basedOn w:val="DefaultParagraphFont"/>
    <w:uiPriority w:val="20"/>
    <w:qFormat/>
    <w:rsid w:val="00CB6A43"/>
    <w:rPr>
      <w:i/>
      <w:iCs/>
    </w:rPr>
  </w:style>
  <w:style w:type="paragraph" w:styleId="DocumentMap">
    <w:name w:val="Document Map"/>
    <w:basedOn w:val="Normal"/>
    <w:link w:val="DocumentMapChar"/>
    <w:uiPriority w:val="99"/>
    <w:semiHidden/>
    <w:rsid w:val="00CB6A43"/>
    <w:rPr>
      <w:rFonts w:ascii="Tahoma" w:hAnsi="Tahoma" w:cs="Tahoma"/>
      <w:sz w:val="16"/>
      <w:szCs w:val="16"/>
    </w:rPr>
  </w:style>
  <w:style w:type="character" w:customStyle="1" w:styleId="DocumentMapChar">
    <w:name w:val="Document Map Char"/>
    <w:basedOn w:val="DefaultParagraphFont"/>
    <w:link w:val="DocumentMap"/>
    <w:uiPriority w:val="99"/>
    <w:semiHidden/>
    <w:rsid w:val="00CB6A43"/>
    <w:rPr>
      <w:rFonts w:ascii="Tahoma" w:hAnsi="Tahoma" w:cs="Tahoma"/>
      <w:sz w:val="16"/>
      <w:szCs w:val="16"/>
    </w:rPr>
  </w:style>
  <w:style w:type="paragraph" w:customStyle="1" w:styleId="TRTitle">
    <w:name w:val="_TRTitle"/>
    <w:basedOn w:val="Normal"/>
    <w:next w:val="Normal"/>
    <w:rsid w:val="00D116EB"/>
    <w:pPr>
      <w:pBdr>
        <w:bottom w:val="single" w:sz="8" w:space="1" w:color="auto"/>
      </w:pBdr>
      <w:spacing w:before="360" w:after="120"/>
      <w:ind w:left="2552" w:hanging="2552"/>
    </w:pPr>
    <w:rPr>
      <w:rFonts w:eastAsia="Times New Roman" w:cs="Times New Roman"/>
      <w:bCs/>
      <w:sz w:val="28"/>
      <w:szCs w:val="20"/>
    </w:rPr>
  </w:style>
  <w:style w:type="table" w:customStyle="1" w:styleId="LightShading1">
    <w:name w:val="Light Shading1"/>
    <w:basedOn w:val="TableNormal"/>
    <w:uiPriority w:val="60"/>
    <w:rsid w:val="00D116EB"/>
    <w:pPr>
      <w:spacing w:line="240" w:lineRule="auto"/>
    </w:pPr>
    <w:rPr>
      <w:rFonts w:ascii="Times New Roman" w:eastAsia="Times New Roman" w:hAnsi="Times New Roman" w:cs="Times New Roman"/>
      <w:color w:val="000000" w:themeColor="text1" w:themeShade="BF"/>
      <w:sz w:val="20"/>
      <w:szCs w:val="20"/>
      <w:lang w:eastAsia="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rsid w:val="007D6A90"/>
    <w:rPr>
      <w:sz w:val="16"/>
      <w:szCs w:val="16"/>
    </w:rPr>
  </w:style>
  <w:style w:type="paragraph" w:styleId="CommentText">
    <w:name w:val="annotation text"/>
    <w:basedOn w:val="Normal"/>
    <w:link w:val="CommentTextChar"/>
    <w:uiPriority w:val="99"/>
    <w:semiHidden/>
    <w:rsid w:val="007D6A90"/>
    <w:rPr>
      <w:sz w:val="20"/>
      <w:szCs w:val="20"/>
    </w:rPr>
  </w:style>
  <w:style w:type="character" w:customStyle="1" w:styleId="CommentTextChar">
    <w:name w:val="Comment Text Char"/>
    <w:basedOn w:val="DefaultParagraphFont"/>
    <w:link w:val="CommentText"/>
    <w:uiPriority w:val="99"/>
    <w:semiHidden/>
    <w:rsid w:val="007D6A90"/>
    <w:rPr>
      <w:sz w:val="20"/>
      <w:szCs w:val="20"/>
    </w:rPr>
  </w:style>
  <w:style w:type="paragraph" w:styleId="CommentSubject">
    <w:name w:val="annotation subject"/>
    <w:basedOn w:val="CommentText"/>
    <w:next w:val="CommentText"/>
    <w:link w:val="CommentSubjectChar"/>
    <w:uiPriority w:val="99"/>
    <w:semiHidden/>
    <w:rsid w:val="007D6A90"/>
    <w:rPr>
      <w:b/>
      <w:bCs/>
    </w:rPr>
  </w:style>
  <w:style w:type="character" w:customStyle="1" w:styleId="CommentSubjectChar">
    <w:name w:val="Comment Subject Char"/>
    <w:basedOn w:val="CommentTextChar"/>
    <w:link w:val="CommentSubject"/>
    <w:uiPriority w:val="99"/>
    <w:semiHidden/>
    <w:rsid w:val="007D6A90"/>
    <w:rPr>
      <w:b/>
      <w:bCs/>
      <w:sz w:val="20"/>
      <w:szCs w:val="20"/>
    </w:rPr>
  </w:style>
  <w:style w:type="paragraph" w:customStyle="1" w:styleId="StyleListParagraphListParagraphnumberedListBulletindentLis">
    <w:name w:val="Style List ParagraphList Paragraph numberedList Bullet indentLis..."/>
    <w:basedOn w:val="ListParagraph"/>
    <w:rsid w:val="003352F5"/>
    <w:pPr>
      <w:spacing w:after="240"/>
    </w:pPr>
    <w:rPr>
      <w:szCs w:val="20"/>
    </w:rPr>
  </w:style>
  <w:style w:type="paragraph" w:styleId="TOC4">
    <w:name w:val="toc 4"/>
    <w:basedOn w:val="TOC3"/>
    <w:next w:val="Normal"/>
    <w:autoRedefine/>
    <w:uiPriority w:val="39"/>
    <w:rsid w:val="0031589C"/>
    <w:pPr>
      <w:ind w:left="658"/>
    </w:pPr>
    <w:rPr>
      <w:i/>
    </w:rPr>
  </w:style>
  <w:style w:type="paragraph" w:customStyle="1" w:styleId="TRBodyText">
    <w:name w:val="_TRBody Text"/>
    <w:rsid w:val="00873645"/>
    <w:pPr>
      <w:spacing w:line="240" w:lineRule="auto"/>
    </w:pPr>
    <w:rPr>
      <w:rFonts w:ascii="Arial" w:eastAsia="Times New Roman" w:hAnsi="Arial" w:cs="Times New Roman"/>
      <w:szCs w:val="20"/>
    </w:rPr>
  </w:style>
  <w:style w:type="paragraph" w:customStyle="1" w:styleId="MoE-Body">
    <w:name w:val="MoE - Body"/>
    <w:basedOn w:val="Normal"/>
    <w:qFormat/>
    <w:rsid w:val="005B72A4"/>
    <w:pPr>
      <w:spacing w:after="240"/>
    </w:pPr>
    <w:rPr>
      <w:rFonts w:eastAsiaTheme="minorEastAsia" w:cs="Times New Roman"/>
      <w:sz w:val="20"/>
      <w:szCs w:val="24"/>
      <w:lang w:val="en-AU"/>
    </w:rPr>
  </w:style>
  <w:style w:type="character" w:styleId="PlaceholderText">
    <w:name w:val="Placeholder Text"/>
    <w:basedOn w:val="DefaultParagraphFont"/>
    <w:uiPriority w:val="99"/>
    <w:semiHidden/>
    <w:rsid w:val="001D02A5"/>
    <w:rPr>
      <w:color w:val="808080"/>
    </w:rPr>
  </w:style>
  <w:style w:type="character" w:styleId="FollowedHyperlink">
    <w:name w:val="FollowedHyperlink"/>
    <w:basedOn w:val="DefaultParagraphFont"/>
    <w:uiPriority w:val="99"/>
    <w:semiHidden/>
    <w:rsid w:val="0021649E"/>
    <w:rPr>
      <w:color w:val="3EBBF0" w:themeColor="followedHyperlink"/>
      <w:u w:val="single"/>
    </w:rPr>
  </w:style>
  <w:style w:type="paragraph" w:styleId="Revision">
    <w:name w:val="Revision"/>
    <w:hidden/>
    <w:uiPriority w:val="99"/>
    <w:semiHidden/>
    <w:rsid w:val="009F3CCB"/>
    <w:pPr>
      <w:spacing w:line="240" w:lineRule="auto"/>
    </w:pPr>
    <w:rPr>
      <w:rFonts w:ascii="Arial" w:hAnsi="Arial"/>
    </w:rPr>
  </w:style>
  <w:style w:type="paragraph" w:styleId="BodyText">
    <w:name w:val="Body Text"/>
    <w:basedOn w:val="Normal"/>
    <w:link w:val="BodyTextChar"/>
    <w:rsid w:val="00F35138"/>
    <w:pPr>
      <w:spacing w:before="60" w:after="220" w:line="280" w:lineRule="exact"/>
    </w:pPr>
    <w:rPr>
      <w:rFonts w:eastAsia="Times New Roman" w:cs="Times New Roman"/>
      <w:sz w:val="24"/>
      <w:szCs w:val="20"/>
    </w:rPr>
  </w:style>
  <w:style w:type="character" w:customStyle="1" w:styleId="BodyTextChar">
    <w:name w:val="Body Text Char"/>
    <w:basedOn w:val="DefaultParagraphFont"/>
    <w:link w:val="BodyText"/>
    <w:rsid w:val="00F35138"/>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21727393">
      <w:bodyDiv w:val="1"/>
      <w:marLeft w:val="0"/>
      <w:marRight w:val="0"/>
      <w:marTop w:val="0"/>
      <w:marBottom w:val="0"/>
      <w:divBdr>
        <w:top w:val="none" w:sz="0" w:space="0" w:color="auto"/>
        <w:left w:val="none" w:sz="0" w:space="0" w:color="auto"/>
        <w:bottom w:val="none" w:sz="0" w:space="0" w:color="auto"/>
        <w:right w:val="none" w:sz="0" w:space="0" w:color="auto"/>
      </w:divBdr>
    </w:div>
    <w:div w:id="732697563">
      <w:bodyDiv w:val="1"/>
      <w:marLeft w:val="0"/>
      <w:marRight w:val="0"/>
      <w:marTop w:val="0"/>
      <w:marBottom w:val="0"/>
      <w:divBdr>
        <w:top w:val="none" w:sz="0" w:space="0" w:color="auto"/>
        <w:left w:val="none" w:sz="0" w:space="0" w:color="auto"/>
        <w:bottom w:val="none" w:sz="0" w:space="0" w:color="auto"/>
        <w:right w:val="none" w:sz="0" w:space="0" w:color="auto"/>
      </w:divBdr>
    </w:div>
    <w:div w:id="894004137">
      <w:bodyDiv w:val="1"/>
      <w:marLeft w:val="0"/>
      <w:marRight w:val="0"/>
      <w:marTop w:val="0"/>
      <w:marBottom w:val="0"/>
      <w:divBdr>
        <w:top w:val="none" w:sz="0" w:space="0" w:color="auto"/>
        <w:left w:val="none" w:sz="0" w:space="0" w:color="auto"/>
        <w:bottom w:val="none" w:sz="0" w:space="0" w:color="auto"/>
        <w:right w:val="none" w:sz="0" w:space="0" w:color="auto"/>
      </w:divBdr>
      <w:divsChild>
        <w:div w:id="158814552">
          <w:marLeft w:val="547"/>
          <w:marRight w:val="0"/>
          <w:marTop w:val="134"/>
          <w:marBottom w:val="0"/>
          <w:divBdr>
            <w:top w:val="none" w:sz="0" w:space="0" w:color="auto"/>
            <w:left w:val="none" w:sz="0" w:space="0" w:color="auto"/>
            <w:bottom w:val="none" w:sz="0" w:space="0" w:color="auto"/>
            <w:right w:val="none" w:sz="0" w:space="0" w:color="auto"/>
          </w:divBdr>
        </w:div>
      </w:divsChild>
    </w:div>
    <w:div w:id="898976006">
      <w:bodyDiv w:val="1"/>
      <w:marLeft w:val="0"/>
      <w:marRight w:val="0"/>
      <w:marTop w:val="0"/>
      <w:marBottom w:val="0"/>
      <w:divBdr>
        <w:top w:val="none" w:sz="0" w:space="0" w:color="auto"/>
        <w:left w:val="none" w:sz="0" w:space="0" w:color="auto"/>
        <w:bottom w:val="none" w:sz="0" w:space="0" w:color="auto"/>
        <w:right w:val="none" w:sz="0" w:space="0" w:color="auto"/>
      </w:divBdr>
    </w:div>
    <w:div w:id="923497025">
      <w:bodyDiv w:val="1"/>
      <w:marLeft w:val="0"/>
      <w:marRight w:val="0"/>
      <w:marTop w:val="0"/>
      <w:marBottom w:val="0"/>
      <w:divBdr>
        <w:top w:val="none" w:sz="0" w:space="0" w:color="auto"/>
        <w:left w:val="none" w:sz="0" w:space="0" w:color="auto"/>
        <w:bottom w:val="none" w:sz="0" w:space="0" w:color="auto"/>
        <w:right w:val="none" w:sz="0" w:space="0" w:color="auto"/>
      </w:divBdr>
    </w:div>
    <w:div w:id="998583379">
      <w:bodyDiv w:val="1"/>
      <w:marLeft w:val="0"/>
      <w:marRight w:val="0"/>
      <w:marTop w:val="0"/>
      <w:marBottom w:val="0"/>
      <w:divBdr>
        <w:top w:val="none" w:sz="0" w:space="0" w:color="auto"/>
        <w:left w:val="none" w:sz="0" w:space="0" w:color="auto"/>
        <w:bottom w:val="none" w:sz="0" w:space="0" w:color="auto"/>
        <w:right w:val="none" w:sz="0" w:space="0" w:color="auto"/>
      </w:divBdr>
    </w:div>
    <w:div w:id="1030229242">
      <w:bodyDiv w:val="1"/>
      <w:marLeft w:val="0"/>
      <w:marRight w:val="0"/>
      <w:marTop w:val="0"/>
      <w:marBottom w:val="0"/>
      <w:divBdr>
        <w:top w:val="none" w:sz="0" w:space="0" w:color="auto"/>
        <w:left w:val="none" w:sz="0" w:space="0" w:color="auto"/>
        <w:bottom w:val="none" w:sz="0" w:space="0" w:color="auto"/>
        <w:right w:val="none" w:sz="0" w:space="0" w:color="auto"/>
      </w:divBdr>
    </w:div>
    <w:div w:id="1063018635">
      <w:bodyDiv w:val="1"/>
      <w:marLeft w:val="0"/>
      <w:marRight w:val="0"/>
      <w:marTop w:val="0"/>
      <w:marBottom w:val="0"/>
      <w:divBdr>
        <w:top w:val="none" w:sz="0" w:space="0" w:color="auto"/>
        <w:left w:val="none" w:sz="0" w:space="0" w:color="auto"/>
        <w:bottom w:val="none" w:sz="0" w:space="0" w:color="auto"/>
        <w:right w:val="none" w:sz="0" w:space="0" w:color="auto"/>
      </w:divBdr>
    </w:div>
    <w:div w:id="1079714988">
      <w:bodyDiv w:val="1"/>
      <w:marLeft w:val="0"/>
      <w:marRight w:val="0"/>
      <w:marTop w:val="0"/>
      <w:marBottom w:val="0"/>
      <w:divBdr>
        <w:top w:val="none" w:sz="0" w:space="0" w:color="auto"/>
        <w:left w:val="none" w:sz="0" w:space="0" w:color="auto"/>
        <w:bottom w:val="none" w:sz="0" w:space="0" w:color="auto"/>
        <w:right w:val="none" w:sz="0" w:space="0" w:color="auto"/>
      </w:divBdr>
    </w:div>
    <w:div w:id="1160732601">
      <w:bodyDiv w:val="1"/>
      <w:marLeft w:val="0"/>
      <w:marRight w:val="0"/>
      <w:marTop w:val="0"/>
      <w:marBottom w:val="0"/>
      <w:divBdr>
        <w:top w:val="none" w:sz="0" w:space="0" w:color="auto"/>
        <w:left w:val="none" w:sz="0" w:space="0" w:color="auto"/>
        <w:bottom w:val="none" w:sz="0" w:space="0" w:color="auto"/>
        <w:right w:val="none" w:sz="0" w:space="0" w:color="auto"/>
      </w:divBdr>
      <w:divsChild>
        <w:div w:id="1303121726">
          <w:marLeft w:val="547"/>
          <w:marRight w:val="0"/>
          <w:marTop w:val="125"/>
          <w:marBottom w:val="0"/>
          <w:divBdr>
            <w:top w:val="none" w:sz="0" w:space="0" w:color="auto"/>
            <w:left w:val="none" w:sz="0" w:space="0" w:color="auto"/>
            <w:bottom w:val="none" w:sz="0" w:space="0" w:color="auto"/>
            <w:right w:val="none" w:sz="0" w:space="0" w:color="auto"/>
          </w:divBdr>
        </w:div>
        <w:div w:id="1444379431">
          <w:marLeft w:val="1166"/>
          <w:marRight w:val="0"/>
          <w:marTop w:val="106"/>
          <w:marBottom w:val="0"/>
          <w:divBdr>
            <w:top w:val="none" w:sz="0" w:space="0" w:color="auto"/>
            <w:left w:val="none" w:sz="0" w:space="0" w:color="auto"/>
            <w:bottom w:val="none" w:sz="0" w:space="0" w:color="auto"/>
            <w:right w:val="none" w:sz="0" w:space="0" w:color="auto"/>
          </w:divBdr>
        </w:div>
        <w:div w:id="1023090386">
          <w:marLeft w:val="1166"/>
          <w:marRight w:val="0"/>
          <w:marTop w:val="106"/>
          <w:marBottom w:val="0"/>
          <w:divBdr>
            <w:top w:val="none" w:sz="0" w:space="0" w:color="auto"/>
            <w:left w:val="none" w:sz="0" w:space="0" w:color="auto"/>
            <w:bottom w:val="none" w:sz="0" w:space="0" w:color="auto"/>
            <w:right w:val="none" w:sz="0" w:space="0" w:color="auto"/>
          </w:divBdr>
        </w:div>
        <w:div w:id="1954050704">
          <w:marLeft w:val="1800"/>
          <w:marRight w:val="0"/>
          <w:marTop w:val="91"/>
          <w:marBottom w:val="0"/>
          <w:divBdr>
            <w:top w:val="none" w:sz="0" w:space="0" w:color="auto"/>
            <w:left w:val="none" w:sz="0" w:space="0" w:color="auto"/>
            <w:bottom w:val="none" w:sz="0" w:space="0" w:color="auto"/>
            <w:right w:val="none" w:sz="0" w:space="0" w:color="auto"/>
          </w:divBdr>
        </w:div>
        <w:div w:id="932710559">
          <w:marLeft w:val="1800"/>
          <w:marRight w:val="0"/>
          <w:marTop w:val="91"/>
          <w:marBottom w:val="0"/>
          <w:divBdr>
            <w:top w:val="none" w:sz="0" w:space="0" w:color="auto"/>
            <w:left w:val="none" w:sz="0" w:space="0" w:color="auto"/>
            <w:bottom w:val="none" w:sz="0" w:space="0" w:color="auto"/>
            <w:right w:val="none" w:sz="0" w:space="0" w:color="auto"/>
          </w:divBdr>
        </w:div>
        <w:div w:id="931940227">
          <w:marLeft w:val="1800"/>
          <w:marRight w:val="0"/>
          <w:marTop w:val="91"/>
          <w:marBottom w:val="0"/>
          <w:divBdr>
            <w:top w:val="none" w:sz="0" w:space="0" w:color="auto"/>
            <w:left w:val="none" w:sz="0" w:space="0" w:color="auto"/>
            <w:bottom w:val="none" w:sz="0" w:space="0" w:color="auto"/>
            <w:right w:val="none" w:sz="0" w:space="0" w:color="auto"/>
          </w:divBdr>
        </w:div>
        <w:div w:id="223298433">
          <w:marLeft w:val="1166"/>
          <w:marRight w:val="0"/>
          <w:marTop w:val="106"/>
          <w:marBottom w:val="0"/>
          <w:divBdr>
            <w:top w:val="none" w:sz="0" w:space="0" w:color="auto"/>
            <w:left w:val="none" w:sz="0" w:space="0" w:color="auto"/>
            <w:bottom w:val="none" w:sz="0" w:space="0" w:color="auto"/>
            <w:right w:val="none" w:sz="0" w:space="0" w:color="auto"/>
          </w:divBdr>
        </w:div>
      </w:divsChild>
    </w:div>
    <w:div w:id="1204750663">
      <w:bodyDiv w:val="1"/>
      <w:marLeft w:val="0"/>
      <w:marRight w:val="0"/>
      <w:marTop w:val="0"/>
      <w:marBottom w:val="0"/>
      <w:divBdr>
        <w:top w:val="none" w:sz="0" w:space="0" w:color="auto"/>
        <w:left w:val="none" w:sz="0" w:space="0" w:color="auto"/>
        <w:bottom w:val="none" w:sz="0" w:space="0" w:color="auto"/>
        <w:right w:val="none" w:sz="0" w:space="0" w:color="auto"/>
      </w:divBdr>
    </w:div>
    <w:div w:id="1205171183">
      <w:bodyDiv w:val="1"/>
      <w:marLeft w:val="0"/>
      <w:marRight w:val="0"/>
      <w:marTop w:val="0"/>
      <w:marBottom w:val="0"/>
      <w:divBdr>
        <w:top w:val="none" w:sz="0" w:space="0" w:color="auto"/>
        <w:left w:val="none" w:sz="0" w:space="0" w:color="auto"/>
        <w:bottom w:val="none" w:sz="0" w:space="0" w:color="auto"/>
        <w:right w:val="none" w:sz="0" w:space="0" w:color="auto"/>
      </w:divBdr>
    </w:div>
    <w:div w:id="1234966922">
      <w:bodyDiv w:val="1"/>
      <w:marLeft w:val="0"/>
      <w:marRight w:val="0"/>
      <w:marTop w:val="0"/>
      <w:marBottom w:val="0"/>
      <w:divBdr>
        <w:top w:val="none" w:sz="0" w:space="0" w:color="auto"/>
        <w:left w:val="none" w:sz="0" w:space="0" w:color="auto"/>
        <w:bottom w:val="none" w:sz="0" w:space="0" w:color="auto"/>
        <w:right w:val="none" w:sz="0" w:space="0" w:color="auto"/>
      </w:divBdr>
      <w:divsChild>
        <w:div w:id="401677465">
          <w:marLeft w:val="547"/>
          <w:marRight w:val="0"/>
          <w:marTop w:val="134"/>
          <w:marBottom w:val="0"/>
          <w:divBdr>
            <w:top w:val="none" w:sz="0" w:space="0" w:color="auto"/>
            <w:left w:val="none" w:sz="0" w:space="0" w:color="auto"/>
            <w:bottom w:val="none" w:sz="0" w:space="0" w:color="auto"/>
            <w:right w:val="none" w:sz="0" w:space="0" w:color="auto"/>
          </w:divBdr>
        </w:div>
        <w:div w:id="775251497">
          <w:marLeft w:val="547"/>
          <w:marRight w:val="0"/>
          <w:marTop w:val="134"/>
          <w:marBottom w:val="0"/>
          <w:divBdr>
            <w:top w:val="none" w:sz="0" w:space="0" w:color="auto"/>
            <w:left w:val="none" w:sz="0" w:space="0" w:color="auto"/>
            <w:bottom w:val="none" w:sz="0" w:space="0" w:color="auto"/>
            <w:right w:val="none" w:sz="0" w:space="0" w:color="auto"/>
          </w:divBdr>
        </w:div>
      </w:divsChild>
    </w:div>
    <w:div w:id="1312829071">
      <w:bodyDiv w:val="1"/>
      <w:marLeft w:val="0"/>
      <w:marRight w:val="0"/>
      <w:marTop w:val="0"/>
      <w:marBottom w:val="0"/>
      <w:divBdr>
        <w:top w:val="none" w:sz="0" w:space="0" w:color="auto"/>
        <w:left w:val="none" w:sz="0" w:space="0" w:color="auto"/>
        <w:bottom w:val="none" w:sz="0" w:space="0" w:color="auto"/>
        <w:right w:val="none" w:sz="0" w:space="0" w:color="auto"/>
      </w:divBdr>
    </w:div>
    <w:div w:id="1390416215">
      <w:bodyDiv w:val="1"/>
      <w:marLeft w:val="0"/>
      <w:marRight w:val="0"/>
      <w:marTop w:val="0"/>
      <w:marBottom w:val="0"/>
      <w:divBdr>
        <w:top w:val="none" w:sz="0" w:space="0" w:color="auto"/>
        <w:left w:val="none" w:sz="0" w:space="0" w:color="auto"/>
        <w:bottom w:val="none" w:sz="0" w:space="0" w:color="auto"/>
        <w:right w:val="none" w:sz="0" w:space="0" w:color="auto"/>
      </w:divBdr>
    </w:div>
    <w:div w:id="1446457673">
      <w:bodyDiv w:val="1"/>
      <w:marLeft w:val="0"/>
      <w:marRight w:val="0"/>
      <w:marTop w:val="0"/>
      <w:marBottom w:val="0"/>
      <w:divBdr>
        <w:top w:val="none" w:sz="0" w:space="0" w:color="auto"/>
        <w:left w:val="none" w:sz="0" w:space="0" w:color="auto"/>
        <w:bottom w:val="none" w:sz="0" w:space="0" w:color="auto"/>
        <w:right w:val="none" w:sz="0" w:space="0" w:color="auto"/>
      </w:divBdr>
    </w:div>
    <w:div w:id="1576624356">
      <w:bodyDiv w:val="1"/>
      <w:marLeft w:val="0"/>
      <w:marRight w:val="0"/>
      <w:marTop w:val="0"/>
      <w:marBottom w:val="0"/>
      <w:divBdr>
        <w:top w:val="none" w:sz="0" w:space="0" w:color="auto"/>
        <w:left w:val="none" w:sz="0" w:space="0" w:color="auto"/>
        <w:bottom w:val="none" w:sz="0" w:space="0" w:color="auto"/>
        <w:right w:val="none" w:sz="0" w:space="0" w:color="auto"/>
      </w:divBdr>
    </w:div>
    <w:div w:id="1773889465">
      <w:bodyDiv w:val="1"/>
      <w:marLeft w:val="0"/>
      <w:marRight w:val="0"/>
      <w:marTop w:val="0"/>
      <w:marBottom w:val="0"/>
      <w:divBdr>
        <w:top w:val="none" w:sz="0" w:space="0" w:color="auto"/>
        <w:left w:val="none" w:sz="0" w:space="0" w:color="auto"/>
        <w:bottom w:val="none" w:sz="0" w:space="0" w:color="auto"/>
        <w:right w:val="none" w:sz="0" w:space="0" w:color="auto"/>
      </w:divBdr>
    </w:div>
    <w:div w:id="1785035773">
      <w:bodyDiv w:val="1"/>
      <w:marLeft w:val="0"/>
      <w:marRight w:val="0"/>
      <w:marTop w:val="0"/>
      <w:marBottom w:val="0"/>
      <w:divBdr>
        <w:top w:val="none" w:sz="0" w:space="0" w:color="auto"/>
        <w:left w:val="none" w:sz="0" w:space="0" w:color="auto"/>
        <w:bottom w:val="none" w:sz="0" w:space="0" w:color="auto"/>
        <w:right w:val="none" w:sz="0" w:space="0" w:color="auto"/>
      </w:divBdr>
    </w:div>
    <w:div w:id="1853565175">
      <w:bodyDiv w:val="1"/>
      <w:marLeft w:val="0"/>
      <w:marRight w:val="0"/>
      <w:marTop w:val="0"/>
      <w:marBottom w:val="0"/>
      <w:divBdr>
        <w:top w:val="none" w:sz="0" w:space="0" w:color="auto"/>
        <w:left w:val="none" w:sz="0" w:space="0" w:color="auto"/>
        <w:bottom w:val="none" w:sz="0" w:space="0" w:color="auto"/>
        <w:right w:val="none" w:sz="0" w:space="0" w:color="auto"/>
      </w:divBdr>
    </w:div>
    <w:div w:id="1901986714">
      <w:bodyDiv w:val="1"/>
      <w:marLeft w:val="0"/>
      <w:marRight w:val="0"/>
      <w:marTop w:val="0"/>
      <w:marBottom w:val="0"/>
      <w:divBdr>
        <w:top w:val="none" w:sz="0" w:space="0" w:color="auto"/>
        <w:left w:val="none" w:sz="0" w:space="0" w:color="auto"/>
        <w:bottom w:val="none" w:sz="0" w:space="0" w:color="auto"/>
        <w:right w:val="none" w:sz="0" w:space="0" w:color="auto"/>
      </w:divBdr>
      <w:divsChild>
        <w:div w:id="2088065066">
          <w:marLeft w:val="547"/>
          <w:marRight w:val="0"/>
          <w:marTop w:val="125"/>
          <w:marBottom w:val="0"/>
          <w:divBdr>
            <w:top w:val="none" w:sz="0" w:space="0" w:color="auto"/>
            <w:left w:val="none" w:sz="0" w:space="0" w:color="auto"/>
            <w:bottom w:val="none" w:sz="0" w:space="0" w:color="auto"/>
            <w:right w:val="none" w:sz="0" w:space="0" w:color="auto"/>
          </w:divBdr>
        </w:div>
        <w:div w:id="1626698288">
          <w:marLeft w:val="1166"/>
          <w:marRight w:val="0"/>
          <w:marTop w:val="106"/>
          <w:marBottom w:val="0"/>
          <w:divBdr>
            <w:top w:val="none" w:sz="0" w:space="0" w:color="auto"/>
            <w:left w:val="none" w:sz="0" w:space="0" w:color="auto"/>
            <w:bottom w:val="none" w:sz="0" w:space="0" w:color="auto"/>
            <w:right w:val="none" w:sz="0" w:space="0" w:color="auto"/>
          </w:divBdr>
        </w:div>
        <w:div w:id="915826440">
          <w:marLeft w:val="1800"/>
          <w:marRight w:val="0"/>
          <w:marTop w:val="91"/>
          <w:marBottom w:val="0"/>
          <w:divBdr>
            <w:top w:val="none" w:sz="0" w:space="0" w:color="auto"/>
            <w:left w:val="none" w:sz="0" w:space="0" w:color="auto"/>
            <w:bottom w:val="none" w:sz="0" w:space="0" w:color="auto"/>
            <w:right w:val="none" w:sz="0" w:space="0" w:color="auto"/>
          </w:divBdr>
        </w:div>
        <w:div w:id="1210846773">
          <w:marLeft w:val="1166"/>
          <w:marRight w:val="0"/>
          <w:marTop w:val="106"/>
          <w:marBottom w:val="0"/>
          <w:divBdr>
            <w:top w:val="none" w:sz="0" w:space="0" w:color="auto"/>
            <w:left w:val="none" w:sz="0" w:space="0" w:color="auto"/>
            <w:bottom w:val="none" w:sz="0" w:space="0" w:color="auto"/>
            <w:right w:val="none" w:sz="0" w:space="0" w:color="auto"/>
          </w:divBdr>
        </w:div>
        <w:div w:id="532961193">
          <w:marLeft w:val="1800"/>
          <w:marRight w:val="0"/>
          <w:marTop w:val="91"/>
          <w:marBottom w:val="0"/>
          <w:divBdr>
            <w:top w:val="none" w:sz="0" w:space="0" w:color="auto"/>
            <w:left w:val="none" w:sz="0" w:space="0" w:color="auto"/>
            <w:bottom w:val="none" w:sz="0" w:space="0" w:color="auto"/>
            <w:right w:val="none" w:sz="0" w:space="0" w:color="auto"/>
          </w:divBdr>
        </w:div>
        <w:div w:id="446000928">
          <w:marLeft w:val="1166"/>
          <w:marRight w:val="0"/>
          <w:marTop w:val="106"/>
          <w:marBottom w:val="0"/>
          <w:divBdr>
            <w:top w:val="none" w:sz="0" w:space="0" w:color="auto"/>
            <w:left w:val="none" w:sz="0" w:space="0" w:color="auto"/>
            <w:bottom w:val="none" w:sz="0" w:space="0" w:color="auto"/>
            <w:right w:val="none" w:sz="0" w:space="0" w:color="auto"/>
          </w:divBdr>
        </w:div>
        <w:div w:id="915478566">
          <w:marLeft w:val="1800"/>
          <w:marRight w:val="0"/>
          <w:marTop w:val="91"/>
          <w:marBottom w:val="0"/>
          <w:divBdr>
            <w:top w:val="none" w:sz="0" w:space="0" w:color="auto"/>
            <w:left w:val="none" w:sz="0" w:space="0" w:color="auto"/>
            <w:bottom w:val="none" w:sz="0" w:space="0" w:color="auto"/>
            <w:right w:val="none" w:sz="0" w:space="0" w:color="auto"/>
          </w:divBdr>
        </w:div>
      </w:divsChild>
    </w:div>
    <w:div w:id="1908564962">
      <w:bodyDiv w:val="1"/>
      <w:marLeft w:val="0"/>
      <w:marRight w:val="0"/>
      <w:marTop w:val="0"/>
      <w:marBottom w:val="0"/>
      <w:divBdr>
        <w:top w:val="none" w:sz="0" w:space="0" w:color="auto"/>
        <w:left w:val="none" w:sz="0" w:space="0" w:color="auto"/>
        <w:bottom w:val="none" w:sz="0" w:space="0" w:color="auto"/>
        <w:right w:val="none" w:sz="0" w:space="0" w:color="auto"/>
      </w:divBdr>
    </w:div>
    <w:div w:id="1929532120">
      <w:bodyDiv w:val="1"/>
      <w:marLeft w:val="0"/>
      <w:marRight w:val="0"/>
      <w:marTop w:val="0"/>
      <w:marBottom w:val="0"/>
      <w:divBdr>
        <w:top w:val="none" w:sz="0" w:space="0" w:color="auto"/>
        <w:left w:val="none" w:sz="0" w:space="0" w:color="auto"/>
        <w:bottom w:val="none" w:sz="0" w:space="0" w:color="auto"/>
        <w:right w:val="none" w:sz="0" w:space="0" w:color="auto"/>
      </w:divBdr>
    </w:div>
    <w:div w:id="19649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t.nz/si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oatD\AppData\Local\Microsoft\Windows\Temporary%20Internet%20Files\Content.IE5\AA893HLN\ECE-Expendit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oe.govt.nz\Shares\ECREGroup\S%20Early%20Childhood%20Education\ECE%20Policy\S%20ECE%20Policy\ECE%20Funding%20Review\Position%20Paper%20on%20Disadvantage\Slope%20of%20Equity%20Funding%20-%20ECE%20&amp;%20Schools%20may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NZ"/>
  <c:chart>
    <c:title>
      <c:tx>
        <c:rich>
          <a:bodyPr/>
          <a:lstStyle/>
          <a:p>
            <a:pPr>
              <a:defRPr sz="600"/>
            </a:pPr>
            <a:r>
              <a:rPr lang="en-NZ" sz="600"/>
              <a:t>Early childhood education subsidy funding</a:t>
            </a:r>
          </a:p>
          <a:p>
            <a:pPr>
              <a:defRPr sz="600"/>
            </a:pPr>
            <a:r>
              <a:rPr lang="en-NZ" sz="600"/>
              <a:t>(GST excl, 2014/15)</a:t>
            </a:r>
          </a:p>
        </c:rich>
      </c:tx>
      <c:layout>
        <c:manualLayout>
          <c:xMode val="edge"/>
          <c:yMode val="edge"/>
          <c:x val="0.14965996787714991"/>
          <c:y val="2.2994371692843296E-2"/>
        </c:manualLayout>
      </c:layout>
    </c:title>
    <c:plotArea>
      <c:layout>
        <c:manualLayout>
          <c:layoutTarget val="inner"/>
          <c:xMode val="edge"/>
          <c:yMode val="edge"/>
          <c:x val="0.18999921651584714"/>
          <c:y val="0.17720156638174239"/>
          <c:w val="0.59908814125507059"/>
          <c:h val="0.74886017656884196"/>
        </c:manualLayout>
      </c:layout>
      <c:pieChart>
        <c:varyColors val="1"/>
        <c:ser>
          <c:idx val="0"/>
          <c:order val="0"/>
          <c:spPr>
            <a:solidFill>
              <a:srgbClr val="C00000"/>
            </a:solidFill>
            <a:ln>
              <a:solidFill>
                <a:schemeClr val="bg1"/>
              </a:solidFill>
            </a:ln>
          </c:spPr>
          <c:dPt>
            <c:idx val="0"/>
            <c:spPr>
              <a:solidFill>
                <a:schemeClr val="accent2">
                  <a:lumMod val="75000"/>
                </a:schemeClr>
              </a:solidFill>
              <a:ln>
                <a:solidFill>
                  <a:schemeClr val="bg1"/>
                </a:solidFill>
              </a:ln>
            </c:spPr>
          </c:dPt>
          <c:dPt>
            <c:idx val="2"/>
            <c:explosion val="30"/>
          </c:dPt>
          <c:dLbls>
            <c:dLbl>
              <c:idx val="2"/>
              <c:layout>
                <c:manualLayout>
                  <c:x val="2.7001693047754929E-2"/>
                  <c:y val="7.8431372549019704E-2"/>
                </c:manualLayout>
              </c:layout>
              <c:showCatName val="1"/>
              <c:extLst>
                <c:ext xmlns:c15="http://schemas.microsoft.com/office/drawing/2012/chart" uri="{CE6537A1-D6FC-4f65-9D91-7224C49458BB}">
                  <c15:layout/>
                </c:ext>
              </c:extLst>
            </c:dLbl>
            <c:dLbl>
              <c:idx val="3"/>
              <c:layout>
                <c:manualLayout>
                  <c:x val="0.13835693746472821"/>
                  <c:y val="0.30380956391146557"/>
                </c:manualLayout>
              </c:layout>
              <c:showCatName val="1"/>
              <c:extLst>
                <c:ext xmlns:c15="http://schemas.microsoft.com/office/drawing/2012/chart" uri="{CE6537A1-D6FC-4f65-9D91-7224C49458BB}">
                  <c15:layout/>
                </c:ext>
              </c:extLst>
            </c:dLbl>
            <c:spPr>
              <a:noFill/>
              <a:ln>
                <a:noFill/>
              </a:ln>
              <a:effectLst/>
            </c:spPr>
            <c:txPr>
              <a:bodyPr/>
              <a:lstStyle/>
              <a:p>
                <a:pPr>
                  <a:defRPr sz="600" b="1"/>
                </a:pPr>
                <a:endParaRPr lang="en-US"/>
              </a:p>
            </c:txPr>
            <c:showCatName val="1"/>
            <c:showLeaderLines val="1"/>
            <c:extLst>
              <c:ext xmlns:c15="http://schemas.microsoft.com/office/drawing/2012/chart" uri="{CE6537A1-D6FC-4f65-9D91-7224C49458BB}">
                <c15:layout/>
              </c:ext>
            </c:extLst>
          </c:dLbls>
          <c:cat>
            <c:strRef>
              <c:f>'EXP2'!$D$23:$D$26</c:f>
              <c:strCache>
                <c:ptCount val="4"/>
                <c:pt idx="0">
                  <c:v>20 Hours ECE ($0.9 billion)</c:v>
                </c:pt>
                <c:pt idx="1">
                  <c:v>ECE Subsidy ($0.6 billion)</c:v>
                </c:pt>
                <c:pt idx="2">
                  <c:v>ECE funding for disadvantage ($28 million)</c:v>
                </c:pt>
                <c:pt idx="3">
                  <c:v>Other Equity Funding ($18 million)</c:v>
                </c:pt>
              </c:strCache>
            </c:strRef>
          </c:cat>
          <c:val>
            <c:numRef>
              <c:f>'EXP2'!$E$23:$E$26</c:f>
              <c:numCache>
                <c:formatCode>"$"#,##0</c:formatCode>
                <c:ptCount val="4"/>
                <c:pt idx="0">
                  <c:v>940399</c:v>
                </c:pt>
                <c:pt idx="1">
                  <c:v>622730</c:v>
                </c:pt>
                <c:pt idx="2" formatCode="#,##0">
                  <c:v>28300</c:v>
                </c:pt>
                <c:pt idx="3" formatCode="#,##0">
                  <c:v>17934</c:v>
                </c:pt>
              </c:numCache>
            </c:numRef>
          </c:val>
        </c:ser>
        <c:dLbls>
          <c:showCatName val="1"/>
        </c:dLbls>
        <c:firstSliceAng val="45"/>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NZ"/>
  <c:chart>
    <c:autoTitleDeleted val="1"/>
    <c:plotArea>
      <c:layout>
        <c:manualLayout>
          <c:layoutTarget val="inner"/>
          <c:xMode val="edge"/>
          <c:yMode val="edge"/>
          <c:x val="0.11151894474729121"/>
          <c:y val="3.6264967124087492E-2"/>
          <c:w val="0.86497678174843529"/>
          <c:h val="0.64142203378423845"/>
        </c:manualLayout>
      </c:layout>
      <c:lineChart>
        <c:grouping val="standard"/>
        <c:ser>
          <c:idx val="0"/>
          <c:order val="0"/>
          <c:tx>
            <c:strRef>
              <c:f>'Sheet1 (3)'!$AF$4</c:f>
              <c:strCache>
                <c:ptCount val="1"/>
                <c:pt idx="0">
                  <c:v>TFEA</c:v>
                </c:pt>
              </c:strCache>
            </c:strRef>
          </c:tx>
          <c:spPr>
            <a:ln w="6350">
              <a:solidFill>
                <a:srgbClr val="C00000"/>
              </a:solidFill>
            </a:ln>
          </c:spPr>
          <c:cat>
            <c:strRef>
              <c:f>'Sheet1 (3)'!$AE$5:$AE$33</c:f>
              <c:strCache>
                <c:ptCount val="28"/>
                <c:pt idx="0">
                  <c:v>Decile 1A</c:v>
                </c:pt>
                <c:pt idx="1">
                  <c:v>Decile 1B</c:v>
                </c:pt>
                <c:pt idx="2">
                  <c:v>Decile 1C</c:v>
                </c:pt>
                <c:pt idx="3">
                  <c:v>Decile 2D</c:v>
                </c:pt>
                <c:pt idx="4">
                  <c:v>Decile 2E</c:v>
                </c:pt>
                <c:pt idx="5">
                  <c:v>Decile 2F</c:v>
                </c:pt>
                <c:pt idx="6">
                  <c:v>Decile 3G</c:v>
                </c:pt>
                <c:pt idx="7">
                  <c:v>Decile 3H</c:v>
                </c:pt>
                <c:pt idx="8">
                  <c:v>Decile 3I</c:v>
                </c:pt>
                <c:pt idx="9">
                  <c:v>Decile 4J</c:v>
                </c:pt>
                <c:pt idx="10">
                  <c:v>Decile 4K</c:v>
                </c:pt>
                <c:pt idx="11">
                  <c:v>Decile 4L</c:v>
                </c:pt>
                <c:pt idx="12">
                  <c:v>Decile 5M</c:v>
                </c:pt>
                <c:pt idx="15">
                  <c:v>Decile 6N</c:v>
                </c:pt>
                <c:pt idx="18">
                  <c:v>Decile 7O</c:v>
                </c:pt>
                <c:pt idx="21">
                  <c:v>Decile 8P</c:v>
                </c:pt>
                <c:pt idx="24">
                  <c:v>Decile 9Q</c:v>
                </c:pt>
                <c:pt idx="27">
                  <c:v>Decile 10Z</c:v>
                </c:pt>
              </c:strCache>
            </c:strRef>
          </c:cat>
          <c:val>
            <c:numRef>
              <c:f>'Sheet1 (3)'!$AF$5:$AF$34</c:f>
              <c:numCache>
                <c:formatCode>0</c:formatCode>
                <c:ptCount val="30"/>
                <c:pt idx="0">
                  <c:v>670.37448194197805</c:v>
                </c:pt>
                <c:pt idx="1">
                  <c:v>623.23120189460747</c:v>
                </c:pt>
                <c:pt idx="2">
                  <c:v>541.22261693309645</c:v>
                </c:pt>
                <c:pt idx="3">
                  <c:v>457.22320899940769</c:v>
                </c:pt>
                <c:pt idx="4">
                  <c:v>375.22942569567789</c:v>
                </c:pt>
                <c:pt idx="5">
                  <c:v>311.23445825932504</c:v>
                </c:pt>
                <c:pt idx="6">
                  <c:v>259.21403197157724</c:v>
                </c:pt>
                <c:pt idx="7">
                  <c:v>205.23978685612778</c:v>
                </c:pt>
                <c:pt idx="8">
                  <c:v>163.25488454706928</c:v>
                </c:pt>
                <c:pt idx="9">
                  <c:v>135.24274718768669</c:v>
                </c:pt>
                <c:pt idx="10">
                  <c:v>111.00503256364711</c:v>
                </c:pt>
                <c:pt idx="11">
                  <c:v>100</c:v>
                </c:pt>
                <c:pt idx="12">
                  <c:v>85.671995263468958</c:v>
                </c:pt>
                <c:pt idx="13">
                  <c:v>85.671995263468958</c:v>
                </c:pt>
                <c:pt idx="14">
                  <c:v>85.671995263468958</c:v>
                </c:pt>
                <c:pt idx="15">
                  <c:v>69.353167554766088</c:v>
                </c:pt>
                <c:pt idx="16">
                  <c:v>69.353167554766088</c:v>
                </c:pt>
                <c:pt idx="17">
                  <c:v>69.353167554766088</c:v>
                </c:pt>
                <c:pt idx="18">
                  <c:v>53.019538188277082</c:v>
                </c:pt>
                <c:pt idx="19">
                  <c:v>53.019538188277082</c:v>
                </c:pt>
                <c:pt idx="20">
                  <c:v>53.019538188277082</c:v>
                </c:pt>
                <c:pt idx="21">
                  <c:v>34.680284191829394</c:v>
                </c:pt>
                <c:pt idx="22">
                  <c:v>34.680284191829394</c:v>
                </c:pt>
                <c:pt idx="23">
                  <c:v>34.680284191829394</c:v>
                </c:pt>
                <c:pt idx="24">
                  <c:v>21.410597986974526</c:v>
                </c:pt>
                <c:pt idx="25">
                  <c:v>21.410597986974526</c:v>
                </c:pt>
                <c:pt idx="26">
                  <c:v>21.410597986974526</c:v>
                </c:pt>
                <c:pt idx="27">
                  <c:v>0</c:v>
                </c:pt>
                <c:pt idx="28">
                  <c:v>0</c:v>
                </c:pt>
                <c:pt idx="29">
                  <c:v>0</c:v>
                </c:pt>
              </c:numCache>
            </c:numRef>
          </c:val>
        </c:ser>
        <c:ser>
          <c:idx val="2"/>
          <c:order val="1"/>
          <c:tx>
            <c:strRef>
              <c:f>'Sheet1 (3)'!$AG$4</c:f>
              <c:strCache>
                <c:ptCount val="1"/>
                <c:pt idx="0">
                  <c:v>Equity Funding Component A</c:v>
                </c:pt>
              </c:strCache>
            </c:strRef>
          </c:tx>
          <c:spPr>
            <a:ln w="15875">
              <a:solidFill>
                <a:schemeClr val="tx2"/>
              </a:solidFill>
            </a:ln>
          </c:spPr>
          <c:marker>
            <c:symbol val="triangle"/>
            <c:size val="4"/>
          </c:marker>
          <c:cat>
            <c:strRef>
              <c:f>'Sheet1 (3)'!$AE$5:$AE$33</c:f>
              <c:strCache>
                <c:ptCount val="28"/>
                <c:pt idx="0">
                  <c:v>Decile 1A</c:v>
                </c:pt>
                <c:pt idx="1">
                  <c:v>Decile 1B</c:v>
                </c:pt>
                <c:pt idx="2">
                  <c:v>Decile 1C</c:v>
                </c:pt>
                <c:pt idx="3">
                  <c:v>Decile 2D</c:v>
                </c:pt>
                <c:pt idx="4">
                  <c:v>Decile 2E</c:v>
                </c:pt>
                <c:pt idx="5">
                  <c:v>Decile 2F</c:v>
                </c:pt>
                <c:pt idx="6">
                  <c:v>Decile 3G</c:v>
                </c:pt>
                <c:pt idx="7">
                  <c:v>Decile 3H</c:v>
                </c:pt>
                <c:pt idx="8">
                  <c:v>Decile 3I</c:v>
                </c:pt>
                <c:pt idx="9">
                  <c:v>Decile 4J</c:v>
                </c:pt>
                <c:pt idx="10">
                  <c:v>Decile 4K</c:v>
                </c:pt>
                <c:pt idx="11">
                  <c:v>Decile 4L</c:v>
                </c:pt>
                <c:pt idx="12">
                  <c:v>Decile 5M</c:v>
                </c:pt>
                <c:pt idx="15">
                  <c:v>Decile 6N</c:v>
                </c:pt>
                <c:pt idx="18">
                  <c:v>Decile 7O</c:v>
                </c:pt>
                <c:pt idx="21">
                  <c:v>Decile 8P</c:v>
                </c:pt>
                <c:pt idx="24">
                  <c:v>Decile 9Q</c:v>
                </c:pt>
                <c:pt idx="27">
                  <c:v>Decile 10Z</c:v>
                </c:pt>
              </c:strCache>
            </c:strRef>
          </c:cat>
          <c:val>
            <c:numRef>
              <c:f>'Sheet1 (3)'!$AG$5:$AG$34</c:f>
              <c:numCache>
                <c:formatCode>_-* #,##0_-;\-* #,##0_-;_-* "-"??_-;_-@_-</c:formatCode>
                <c:ptCount val="30"/>
                <c:pt idx="0">
                  <c:v>461.90476190476232</c:v>
                </c:pt>
                <c:pt idx="1">
                  <c:v>461.90476190476232</c:v>
                </c:pt>
                <c:pt idx="2">
                  <c:v>461.90476190476232</c:v>
                </c:pt>
                <c:pt idx="3">
                  <c:v>366.66666666666708</c:v>
                </c:pt>
                <c:pt idx="4">
                  <c:v>366.66666666666708</c:v>
                </c:pt>
                <c:pt idx="5">
                  <c:v>366.66666666666708</c:v>
                </c:pt>
                <c:pt idx="6">
                  <c:v>200</c:v>
                </c:pt>
                <c:pt idx="7">
                  <c:v>200</c:v>
                </c:pt>
                <c:pt idx="8">
                  <c:v>200</c:v>
                </c:pt>
                <c:pt idx="9">
                  <c:v>100</c:v>
                </c:pt>
                <c:pt idx="10">
                  <c:v>100</c:v>
                </c:pt>
                <c:pt idx="11">
                  <c:v>100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er>
        <c:dLbls/>
        <c:marker val="1"/>
        <c:axId val="168673664"/>
        <c:axId val="168675200"/>
      </c:lineChart>
      <c:catAx>
        <c:axId val="168673664"/>
        <c:scaling>
          <c:orientation val="minMax"/>
        </c:scaling>
        <c:axPos val="b"/>
        <c:numFmt formatCode="General" sourceLinked="0"/>
        <c:tickLblPos val="nextTo"/>
        <c:txPr>
          <a:bodyPr rot="-5400000" vert="horz"/>
          <a:lstStyle/>
          <a:p>
            <a:pPr>
              <a:defRPr/>
            </a:pPr>
            <a:endParaRPr lang="en-US"/>
          </a:p>
        </c:txPr>
        <c:crossAx val="168675200"/>
        <c:crosses val="autoZero"/>
        <c:auto val="1"/>
        <c:lblAlgn val="ctr"/>
        <c:lblOffset val="100"/>
      </c:catAx>
      <c:valAx>
        <c:axId val="168675200"/>
        <c:scaling>
          <c:orientation val="minMax"/>
          <c:max val="750"/>
        </c:scaling>
        <c:axPos val="l"/>
        <c:title>
          <c:tx>
            <c:rich>
              <a:bodyPr rot="-5400000" vert="horz"/>
              <a:lstStyle/>
              <a:p>
                <a:pPr>
                  <a:defRPr/>
                </a:pPr>
                <a:r>
                  <a:rPr lang="en-NZ"/>
                  <a:t>Index (Decile 4L = 100)</a:t>
                </a:r>
              </a:p>
            </c:rich>
          </c:tx>
        </c:title>
        <c:numFmt formatCode="0" sourceLinked="1"/>
        <c:tickLblPos val="nextTo"/>
        <c:crossAx val="168673664"/>
        <c:crosses val="autoZero"/>
        <c:crossBetween val="between"/>
        <c:majorUnit val="50"/>
      </c:valAx>
    </c:plotArea>
    <c:legend>
      <c:legendPos val="b"/>
      <c:layout>
        <c:manualLayout>
          <c:xMode val="edge"/>
          <c:yMode val="edge"/>
          <c:x val="0.26259186351706038"/>
          <c:y val="0.9071276667339655"/>
          <c:w val="0.479089777239389"/>
          <c:h val="5.9065534495596914E-2"/>
        </c:manualLayout>
      </c:layout>
    </c:legend>
    <c:plotVisOnly val="1"/>
    <c:dispBlanksAs val="zero"/>
  </c:chart>
  <c:externalData r:id="rId1"/>
</c:chartSpac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ADB5D-3123-4CA6-8475-09FD73743836}">
  <ds:schemaRefs>
    <ds:schemaRef ds:uri="http://schemas.openxmlformats.org/officeDocument/2006/bibliography"/>
  </ds:schemaRefs>
</ds:datastoreItem>
</file>

<file path=customXml/itemProps3.xml><?xml version="1.0" encoding="utf-8"?>
<ds:datastoreItem xmlns:ds="http://schemas.openxmlformats.org/officeDocument/2006/customXml" ds:itemID="{B986FF64-C99D-43A9-83B1-32316A80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15</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Draft – not government policy</vt:lpstr>
    </vt:vector>
  </TitlesOfParts>
  <Company>Ministry of Education</Company>
  <LinksUpToDate>false</LinksUpToDate>
  <CharactersWithSpaces>33416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not government policy</dc:title>
  <dc:creator>David Choat</dc:creator>
  <cp:lastModifiedBy>Melissa Idiens</cp:lastModifiedBy>
  <cp:revision>20</cp:revision>
  <cp:lastPrinted>2016-05-31T04:00:00Z</cp:lastPrinted>
  <dcterms:created xsi:type="dcterms:W3CDTF">2016-06-02T09:14:00Z</dcterms:created>
  <dcterms:modified xsi:type="dcterms:W3CDTF">2016-06-24T00:51:00Z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