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82" w:rsidRPr="002B3091" w:rsidRDefault="00ED6382" w:rsidP="00ED6382">
      <w:pPr>
        <w:pStyle w:val="MoECoverPageHeading"/>
        <w:rPr>
          <w:sz w:val="16"/>
          <w:szCs w:val="16"/>
        </w:rPr>
      </w:pPr>
    </w:p>
    <w:p w:rsidR="00A30967" w:rsidRPr="00782E5D" w:rsidRDefault="00ED1CCE" w:rsidP="00A30967">
      <w:pPr>
        <w:pStyle w:val="MoECoverPageHeading"/>
        <w:rPr>
          <w:i/>
          <w:color w:val="DE6420"/>
          <w:sz w:val="36"/>
          <w:szCs w:val="36"/>
        </w:rPr>
      </w:pPr>
      <w:r>
        <w:rPr>
          <w:color w:val="DE6420"/>
        </w:rPr>
        <w:t>Assistive Technology</w:t>
      </w:r>
      <w:r w:rsidR="00B52D18">
        <w:rPr>
          <w:color w:val="DE6420"/>
        </w:rPr>
        <w:t xml:space="preserve"> Info </w:t>
      </w:r>
      <w:r w:rsidR="00D775C7">
        <w:rPr>
          <w:color w:val="DE6420"/>
        </w:rPr>
        <w:t>sheet</w:t>
      </w:r>
    </w:p>
    <w:p w:rsidR="00B52D18" w:rsidRDefault="00B52D18" w:rsidP="00A10BDD">
      <w:pPr>
        <w:pStyle w:val="MoECoverPageSubheading"/>
        <w:rPr>
          <w:color w:val="DE6420"/>
          <w:sz w:val="36"/>
        </w:rPr>
        <w:sectPr w:rsidR="00B52D18" w:rsidSect="00E048A1">
          <w:footerReference w:type="default" r:id="rId8"/>
          <w:headerReference w:type="first" r:id="rId9"/>
          <w:footerReference w:type="first" r:id="rId10"/>
          <w:endnotePr>
            <w:numFmt w:val="decimal"/>
          </w:endnotePr>
          <w:type w:val="continuous"/>
          <w:pgSz w:w="11906" w:h="16838"/>
          <w:pgMar w:top="1588" w:right="1274" w:bottom="1701" w:left="907" w:header="426" w:footer="709" w:gutter="0"/>
          <w:cols w:space="708"/>
          <w:titlePg/>
          <w:docGrid w:linePitch="360"/>
        </w:sectPr>
      </w:pPr>
      <w:bookmarkStart w:id="0" w:name="_Toc416184927"/>
    </w:p>
    <w:p w:rsidR="00ED1CCE" w:rsidRPr="00A10BDD" w:rsidRDefault="0002602A" w:rsidP="00A10BDD">
      <w:pPr>
        <w:pStyle w:val="MoECoverPageSubheading"/>
        <w:rPr>
          <w:color w:val="DE6420"/>
          <w:sz w:val="36"/>
        </w:rPr>
        <w:sectPr w:rsidR="00ED1CCE" w:rsidRPr="00A10BDD" w:rsidSect="00B52D18">
          <w:endnotePr>
            <w:numFmt w:val="decimal"/>
          </w:endnotePr>
          <w:type w:val="continuous"/>
          <w:pgSz w:w="11906" w:h="16838"/>
          <w:pgMar w:top="1588" w:right="1274" w:bottom="1701" w:left="907" w:header="426" w:footer="709" w:gutter="0"/>
          <w:cols w:space="708"/>
          <w:titlePg/>
          <w:docGrid w:linePitch="360"/>
        </w:sectPr>
      </w:pPr>
      <w:r>
        <w:rPr>
          <w:color w:val="DE6420"/>
          <w:sz w:val="36"/>
        </w:rPr>
        <w:t>Special A</w:t>
      </w:r>
      <w:bookmarkStart w:id="1" w:name="_GoBack"/>
      <w:bookmarkEnd w:id="1"/>
      <w:r>
        <w:rPr>
          <w:color w:val="DE6420"/>
          <w:sz w:val="36"/>
        </w:rPr>
        <w:t>ssessment Conditions</w:t>
      </w:r>
    </w:p>
    <w:bookmarkEnd w:id="0"/>
    <w:p w:rsidR="000644E3" w:rsidRPr="000644E3" w:rsidRDefault="000644E3" w:rsidP="000644E3">
      <w:pPr>
        <w:pStyle w:val="Text"/>
        <w:jc w:val="left"/>
      </w:pPr>
      <w:r w:rsidRPr="00B52D18">
        <w:rPr>
          <w:sz w:val="21"/>
          <w:szCs w:val="21"/>
        </w:rPr>
        <w:t>Special assessment conditions are entitlements given to students who need additional support to access to secondary school qualification assessments</w:t>
      </w:r>
      <w:r w:rsidRPr="000644E3">
        <w:t>.</w:t>
      </w:r>
    </w:p>
    <w:p w:rsidR="000644E3" w:rsidRPr="000644E3" w:rsidRDefault="000644E3" w:rsidP="000644E3">
      <w:pPr>
        <w:pStyle w:val="MoEHeading2"/>
        <w:spacing w:after="0"/>
        <w:rPr>
          <w:rFonts w:cs="Arial"/>
          <w:color w:val="DE6420"/>
        </w:rPr>
      </w:pPr>
      <w:r w:rsidRPr="000644E3">
        <w:rPr>
          <w:rFonts w:cs="Arial"/>
          <w:color w:val="DE6420"/>
        </w:rPr>
        <w:t>Can students use their assistive technology in formal assessments?</w:t>
      </w:r>
    </w:p>
    <w:p w:rsidR="000644E3" w:rsidRPr="00B52D18" w:rsidRDefault="000644E3" w:rsidP="000644E3">
      <w:pPr>
        <w:pStyle w:val="Text"/>
        <w:jc w:val="left"/>
        <w:rPr>
          <w:sz w:val="21"/>
          <w:szCs w:val="21"/>
        </w:rPr>
      </w:pPr>
      <w:r w:rsidRPr="00B52D18">
        <w:rPr>
          <w:sz w:val="21"/>
          <w:szCs w:val="21"/>
        </w:rPr>
        <w:t>Assistive technology may be appropriate</w:t>
      </w:r>
      <w:r w:rsidR="00EA18BC">
        <w:rPr>
          <w:sz w:val="21"/>
          <w:szCs w:val="21"/>
        </w:rPr>
        <w:t xml:space="preserve"> for some students</w:t>
      </w:r>
      <w:r w:rsidRPr="00B52D18">
        <w:rPr>
          <w:sz w:val="21"/>
          <w:szCs w:val="21"/>
        </w:rPr>
        <w:t xml:space="preserve"> in some circu</w:t>
      </w:r>
      <w:r w:rsidR="00EA18BC">
        <w:rPr>
          <w:sz w:val="21"/>
          <w:szCs w:val="21"/>
        </w:rPr>
        <w:t>mstances. For example t</w:t>
      </w:r>
      <w:r w:rsidRPr="00B52D18">
        <w:rPr>
          <w:sz w:val="21"/>
          <w:szCs w:val="21"/>
        </w:rPr>
        <w:t>he use of a laptop may be appropriate for an assessment of science conceptual understanding but not for an assessment to test the ability to write with a pen.</w:t>
      </w:r>
    </w:p>
    <w:p w:rsidR="000644E3" w:rsidRPr="00B52D18" w:rsidRDefault="000644E3" w:rsidP="000644E3">
      <w:pPr>
        <w:pStyle w:val="Text"/>
        <w:jc w:val="left"/>
        <w:rPr>
          <w:sz w:val="21"/>
          <w:szCs w:val="21"/>
        </w:rPr>
      </w:pPr>
      <w:r w:rsidRPr="00B52D18">
        <w:rPr>
          <w:sz w:val="21"/>
          <w:szCs w:val="21"/>
        </w:rPr>
        <w:t xml:space="preserve">To ensure that </w:t>
      </w:r>
      <w:r w:rsidR="00EA18BC">
        <w:rPr>
          <w:sz w:val="21"/>
          <w:szCs w:val="21"/>
        </w:rPr>
        <w:t xml:space="preserve">assistive </w:t>
      </w:r>
      <w:r w:rsidRPr="00B52D18">
        <w:rPr>
          <w:sz w:val="21"/>
          <w:szCs w:val="21"/>
        </w:rPr>
        <w:t>technology use is appropriate in formal assessments such as NCEA, an application must be made for the student to have special assessment conditions.</w:t>
      </w:r>
    </w:p>
    <w:p w:rsidR="000644E3" w:rsidRPr="00B52D18" w:rsidRDefault="000644E3" w:rsidP="000644E3">
      <w:pPr>
        <w:pStyle w:val="Text"/>
        <w:jc w:val="left"/>
        <w:rPr>
          <w:sz w:val="21"/>
          <w:szCs w:val="21"/>
        </w:rPr>
      </w:pPr>
      <w:r w:rsidRPr="00B52D18">
        <w:rPr>
          <w:sz w:val="21"/>
          <w:szCs w:val="21"/>
        </w:rPr>
        <w:t>Approval for all special assessment conditio</w:t>
      </w:r>
      <w:r w:rsidR="00902E12">
        <w:rPr>
          <w:sz w:val="21"/>
          <w:szCs w:val="21"/>
        </w:rPr>
        <w:t>ns is the responsibility of</w:t>
      </w:r>
      <w:r w:rsidR="00144C0F">
        <w:rPr>
          <w:sz w:val="21"/>
          <w:szCs w:val="21"/>
        </w:rPr>
        <w:t xml:space="preserve"> NZQA</w:t>
      </w:r>
      <w:r w:rsidRPr="00B52D18">
        <w:rPr>
          <w:sz w:val="21"/>
          <w:szCs w:val="21"/>
        </w:rPr>
        <w:t xml:space="preserve">. More information is available on the </w:t>
      </w:r>
      <w:hyperlink r:id="rId11" w:history="1">
        <w:r w:rsidRPr="00144C0F">
          <w:rPr>
            <w:rStyle w:val="Hyperlink"/>
            <w:sz w:val="21"/>
            <w:szCs w:val="21"/>
          </w:rPr>
          <w:t>Mi</w:t>
        </w:r>
        <w:r w:rsidR="00144C0F" w:rsidRPr="00144C0F">
          <w:rPr>
            <w:rStyle w:val="Hyperlink"/>
            <w:sz w:val="21"/>
            <w:szCs w:val="21"/>
          </w:rPr>
          <w:t>nistry of Education website</w:t>
        </w:r>
      </w:hyperlink>
      <w:r w:rsidR="00144C0F">
        <w:rPr>
          <w:sz w:val="21"/>
          <w:szCs w:val="21"/>
        </w:rPr>
        <w:t>.</w:t>
      </w:r>
      <w:r w:rsidRPr="00B52D18">
        <w:rPr>
          <w:sz w:val="21"/>
          <w:szCs w:val="21"/>
        </w:rPr>
        <w:t xml:space="preserve">  </w:t>
      </w:r>
    </w:p>
    <w:p w:rsidR="000644E3" w:rsidRPr="00B52D18" w:rsidRDefault="000644E3" w:rsidP="000644E3">
      <w:pPr>
        <w:pStyle w:val="Text"/>
        <w:jc w:val="left"/>
        <w:rPr>
          <w:sz w:val="21"/>
          <w:szCs w:val="21"/>
        </w:rPr>
      </w:pPr>
      <w:r w:rsidRPr="00B52D18">
        <w:rPr>
          <w:sz w:val="21"/>
          <w:szCs w:val="21"/>
          <w:lang w:val="en-NZ"/>
        </w:rPr>
        <w:t>Special assessment conditions are approved when they allow students to demonstrate their knowledge, skills and understanding, without providing unfair advantage over other candidates.</w:t>
      </w:r>
    </w:p>
    <w:p w:rsidR="000644E3" w:rsidRPr="000644E3" w:rsidRDefault="000644E3" w:rsidP="000644E3">
      <w:pPr>
        <w:pStyle w:val="MoEHeading2"/>
        <w:spacing w:after="0"/>
        <w:rPr>
          <w:rFonts w:cs="Arial"/>
          <w:color w:val="DE6420"/>
        </w:rPr>
      </w:pPr>
      <w:r w:rsidRPr="000644E3">
        <w:rPr>
          <w:rFonts w:cs="Arial"/>
          <w:color w:val="DE6420"/>
        </w:rPr>
        <w:t>What are special assessment conditions?</w:t>
      </w:r>
    </w:p>
    <w:p w:rsidR="000644E3" w:rsidRPr="00B52D18" w:rsidRDefault="000644E3" w:rsidP="000644E3">
      <w:pPr>
        <w:pStyle w:val="Text"/>
        <w:jc w:val="left"/>
        <w:rPr>
          <w:sz w:val="21"/>
          <w:szCs w:val="21"/>
        </w:rPr>
      </w:pPr>
      <w:r w:rsidRPr="00B52D18">
        <w:rPr>
          <w:sz w:val="21"/>
          <w:szCs w:val="21"/>
        </w:rPr>
        <w:t xml:space="preserve">Prior to seeking special assessment conditions the student’s team should ensure that each student should have an assessment programme that suits their individual needs and talents. </w:t>
      </w:r>
    </w:p>
    <w:p w:rsidR="000644E3" w:rsidRPr="00B52D18" w:rsidRDefault="000644E3" w:rsidP="000644E3">
      <w:pPr>
        <w:pStyle w:val="Text"/>
        <w:jc w:val="left"/>
        <w:rPr>
          <w:sz w:val="21"/>
          <w:szCs w:val="21"/>
        </w:rPr>
      </w:pPr>
      <w:r w:rsidRPr="00B52D18">
        <w:rPr>
          <w:sz w:val="21"/>
          <w:szCs w:val="21"/>
        </w:rPr>
        <w:t>The following list of special assessment conditions shows the type of entitlements students can apply for if require them:</w:t>
      </w:r>
    </w:p>
    <w:p w:rsidR="000644E3" w:rsidRPr="00B52D18" w:rsidRDefault="000644E3" w:rsidP="000644E3">
      <w:pPr>
        <w:pStyle w:val="Text"/>
        <w:widowControl/>
        <w:numPr>
          <w:ilvl w:val="0"/>
          <w:numId w:val="23"/>
        </w:numPr>
        <w:adjustRightInd/>
        <w:jc w:val="left"/>
        <w:textAlignment w:val="auto"/>
        <w:rPr>
          <w:sz w:val="21"/>
          <w:szCs w:val="21"/>
        </w:rPr>
      </w:pPr>
      <w:r w:rsidRPr="00B52D18">
        <w:rPr>
          <w:sz w:val="21"/>
          <w:szCs w:val="21"/>
        </w:rPr>
        <w:t>Reader: has content of the assessment read aloud to the student.</w:t>
      </w:r>
    </w:p>
    <w:p w:rsidR="000644E3" w:rsidRPr="00B52D18" w:rsidRDefault="000644E3" w:rsidP="000644E3">
      <w:pPr>
        <w:pStyle w:val="Text"/>
        <w:widowControl/>
        <w:numPr>
          <w:ilvl w:val="0"/>
          <w:numId w:val="23"/>
        </w:numPr>
        <w:adjustRightInd/>
        <w:jc w:val="left"/>
        <w:textAlignment w:val="auto"/>
        <w:rPr>
          <w:sz w:val="21"/>
          <w:szCs w:val="21"/>
        </w:rPr>
      </w:pPr>
      <w:r w:rsidRPr="00B52D18">
        <w:rPr>
          <w:sz w:val="21"/>
          <w:szCs w:val="21"/>
        </w:rPr>
        <w:t>Writer: the student speaks their answers to a writer.</w:t>
      </w:r>
    </w:p>
    <w:p w:rsidR="000644E3" w:rsidRPr="00B52D18" w:rsidRDefault="000644E3" w:rsidP="000644E3">
      <w:pPr>
        <w:pStyle w:val="Text"/>
        <w:widowControl/>
        <w:numPr>
          <w:ilvl w:val="0"/>
          <w:numId w:val="23"/>
        </w:numPr>
        <w:adjustRightInd/>
        <w:jc w:val="left"/>
        <w:textAlignment w:val="auto"/>
        <w:rPr>
          <w:sz w:val="21"/>
          <w:szCs w:val="21"/>
        </w:rPr>
      </w:pPr>
      <w:r w:rsidRPr="00B52D18">
        <w:rPr>
          <w:sz w:val="21"/>
          <w:szCs w:val="21"/>
        </w:rPr>
        <w:t>Alternative formats: Braille, large print or electronic format, signer (for deaf students).</w:t>
      </w:r>
    </w:p>
    <w:p w:rsidR="000644E3" w:rsidRPr="00B52D18" w:rsidRDefault="000644E3" w:rsidP="000644E3">
      <w:pPr>
        <w:pStyle w:val="Text"/>
        <w:widowControl/>
        <w:numPr>
          <w:ilvl w:val="0"/>
          <w:numId w:val="23"/>
        </w:numPr>
        <w:adjustRightInd/>
        <w:jc w:val="left"/>
        <w:textAlignment w:val="auto"/>
        <w:rPr>
          <w:sz w:val="21"/>
          <w:szCs w:val="21"/>
        </w:rPr>
      </w:pPr>
      <w:r w:rsidRPr="00B52D18">
        <w:rPr>
          <w:sz w:val="21"/>
          <w:szCs w:val="21"/>
        </w:rPr>
        <w:t>Use of assistive technology (computers): use of the student’s usual technology to enable the student to complete the assessment.</w:t>
      </w:r>
    </w:p>
    <w:p w:rsidR="000644E3" w:rsidRPr="00B52D18" w:rsidRDefault="000644E3" w:rsidP="000644E3">
      <w:pPr>
        <w:pStyle w:val="Text"/>
        <w:widowControl/>
        <w:numPr>
          <w:ilvl w:val="0"/>
          <w:numId w:val="23"/>
        </w:numPr>
        <w:adjustRightInd/>
        <w:jc w:val="left"/>
        <w:textAlignment w:val="auto"/>
        <w:rPr>
          <w:sz w:val="21"/>
          <w:szCs w:val="21"/>
        </w:rPr>
      </w:pPr>
      <w:r w:rsidRPr="00B52D18">
        <w:rPr>
          <w:sz w:val="21"/>
          <w:szCs w:val="21"/>
        </w:rPr>
        <w:t xml:space="preserve">Extra time (in special circumstances): for assessments over 150 minutes. </w:t>
      </w:r>
    </w:p>
    <w:p w:rsidR="000644E3" w:rsidRPr="00B52D18" w:rsidRDefault="000644E3" w:rsidP="000644E3">
      <w:pPr>
        <w:pStyle w:val="Text"/>
        <w:widowControl/>
        <w:numPr>
          <w:ilvl w:val="0"/>
          <w:numId w:val="23"/>
        </w:numPr>
        <w:adjustRightInd/>
        <w:jc w:val="left"/>
        <w:textAlignment w:val="auto"/>
        <w:rPr>
          <w:sz w:val="21"/>
          <w:szCs w:val="21"/>
        </w:rPr>
      </w:pPr>
      <w:r w:rsidRPr="00B52D18">
        <w:rPr>
          <w:sz w:val="21"/>
          <w:szCs w:val="21"/>
        </w:rPr>
        <w:t>Other exceptional conditions: rest breaks, home supervision, special papers.</w:t>
      </w:r>
    </w:p>
    <w:p w:rsidR="000644E3" w:rsidRPr="00B52D18" w:rsidRDefault="000644E3" w:rsidP="000644E3">
      <w:pPr>
        <w:pStyle w:val="Text"/>
        <w:rPr>
          <w:sz w:val="21"/>
          <w:szCs w:val="21"/>
        </w:rPr>
      </w:pPr>
      <w:r w:rsidRPr="00B52D18">
        <w:rPr>
          <w:sz w:val="21"/>
          <w:szCs w:val="21"/>
        </w:rPr>
        <w:t>To be eligible for special assessment conditions students need to be able to achieve at Level 6 of the NZ Curriculum and they must have an identified specific learning disability or a medical/physical/sensory disability.</w:t>
      </w:r>
    </w:p>
    <w:p w:rsidR="000644E3" w:rsidRPr="000644E3" w:rsidRDefault="000644E3" w:rsidP="000644E3">
      <w:pPr>
        <w:pStyle w:val="MoEHeading2"/>
        <w:spacing w:after="0"/>
        <w:rPr>
          <w:rFonts w:cs="Arial"/>
          <w:color w:val="DE6420"/>
        </w:rPr>
      </w:pPr>
      <w:r w:rsidRPr="000644E3">
        <w:rPr>
          <w:rFonts w:cs="Arial"/>
          <w:color w:val="DE6420"/>
        </w:rPr>
        <w:t>How do schools apply for a special assessment conditions?</w:t>
      </w:r>
    </w:p>
    <w:p w:rsidR="000644E3" w:rsidRPr="00B52D18" w:rsidRDefault="000644E3" w:rsidP="000644E3">
      <w:pPr>
        <w:pStyle w:val="Text"/>
        <w:rPr>
          <w:sz w:val="21"/>
          <w:szCs w:val="21"/>
        </w:rPr>
      </w:pPr>
      <w:r w:rsidRPr="00B52D18">
        <w:rPr>
          <w:sz w:val="21"/>
          <w:szCs w:val="21"/>
        </w:rPr>
        <w:t xml:space="preserve">Applications should be made direct to </w:t>
      </w:r>
      <w:hyperlink r:id="rId12" w:history="1">
        <w:r w:rsidRPr="00B52D18">
          <w:rPr>
            <w:rStyle w:val="Hyperlink"/>
            <w:rFonts w:eastAsiaTheme="majorEastAsia"/>
            <w:sz w:val="21"/>
            <w:szCs w:val="21"/>
          </w:rPr>
          <w:t>NZQA</w:t>
        </w:r>
      </w:hyperlink>
      <w:r w:rsidRPr="00B52D18">
        <w:rPr>
          <w:sz w:val="21"/>
          <w:szCs w:val="21"/>
        </w:rPr>
        <w:t>.  Details about the application process are available on the NZQA website</w:t>
      </w:r>
      <w:r w:rsidRPr="00B52D18">
        <w:rPr>
          <w:b/>
          <w:sz w:val="21"/>
          <w:szCs w:val="21"/>
        </w:rPr>
        <w:t xml:space="preserve">.  </w:t>
      </w:r>
      <w:r w:rsidRPr="00B52D18">
        <w:rPr>
          <w:sz w:val="21"/>
          <w:szCs w:val="21"/>
        </w:rPr>
        <w:t xml:space="preserve">NZQA provides a </w:t>
      </w:r>
      <w:hyperlink r:id="rId13" w:history="1">
        <w:r w:rsidRPr="00B52D18">
          <w:rPr>
            <w:rStyle w:val="Hyperlink"/>
            <w:rFonts w:eastAsiaTheme="majorEastAsia"/>
            <w:sz w:val="21"/>
            <w:szCs w:val="21"/>
          </w:rPr>
          <w:t>guideline summary and timeline</w:t>
        </w:r>
      </w:hyperlink>
      <w:r w:rsidRPr="00B52D18">
        <w:rPr>
          <w:sz w:val="21"/>
          <w:szCs w:val="21"/>
        </w:rPr>
        <w:t xml:space="preserve"> that is helpful if you are applying for the first time.  Specific </w:t>
      </w:r>
      <w:hyperlink r:id="rId14" w:anchor="_msocom_1" w:history="1">
        <w:r w:rsidRPr="00B52D18">
          <w:rPr>
            <w:rStyle w:val="Hyperlink"/>
            <w:rFonts w:eastAsiaTheme="majorEastAsia"/>
            <w:sz w:val="21"/>
            <w:szCs w:val="21"/>
          </w:rPr>
          <w:t>documentation requirements to support applications</w:t>
        </w:r>
      </w:hyperlink>
      <w:r w:rsidRPr="00B52D18">
        <w:rPr>
          <w:sz w:val="21"/>
          <w:szCs w:val="21"/>
        </w:rPr>
        <w:t xml:space="preserve"> are specified by NZQA.  This includes required documentation for </w:t>
      </w:r>
      <w:r w:rsidRPr="00B52D18">
        <w:rPr>
          <w:sz w:val="21"/>
          <w:szCs w:val="21"/>
        </w:rPr>
        <w:lastRenderedPageBreak/>
        <w:t>students with specific disabilities/conditions such as deafness, dyslexia or diabetes.</w:t>
      </w:r>
    </w:p>
    <w:p w:rsidR="000644E3" w:rsidRPr="00B52D18" w:rsidRDefault="000644E3" w:rsidP="000644E3">
      <w:pPr>
        <w:pStyle w:val="Text"/>
        <w:rPr>
          <w:sz w:val="21"/>
          <w:szCs w:val="21"/>
        </w:rPr>
      </w:pPr>
      <w:r w:rsidRPr="00B52D18">
        <w:rPr>
          <w:sz w:val="21"/>
          <w:szCs w:val="21"/>
        </w:rPr>
        <w:t xml:space="preserve">Approval of special assessment conditions in one year does not necessarily mean that approval will be given in subsequent years. </w:t>
      </w:r>
      <w:r w:rsidRPr="00B52D18">
        <w:rPr>
          <w:bCs/>
          <w:sz w:val="21"/>
          <w:szCs w:val="21"/>
        </w:rPr>
        <w:t xml:space="preserve">Permanent or long-term </w:t>
      </w:r>
      <w:r w:rsidRPr="00B52D18">
        <w:rPr>
          <w:bCs/>
          <w:iCs/>
          <w:sz w:val="21"/>
          <w:szCs w:val="21"/>
        </w:rPr>
        <w:t>medical</w:t>
      </w:r>
      <w:r w:rsidRPr="00B52D18">
        <w:rPr>
          <w:bCs/>
          <w:sz w:val="21"/>
          <w:szCs w:val="21"/>
        </w:rPr>
        <w:t xml:space="preserve"> or</w:t>
      </w:r>
      <w:r w:rsidRPr="00B52D18">
        <w:rPr>
          <w:bCs/>
          <w:iCs/>
          <w:sz w:val="21"/>
          <w:szCs w:val="21"/>
        </w:rPr>
        <w:t xml:space="preserve"> physical</w:t>
      </w:r>
      <w:r w:rsidRPr="00B52D18">
        <w:rPr>
          <w:bCs/>
          <w:sz w:val="21"/>
          <w:szCs w:val="21"/>
        </w:rPr>
        <w:t xml:space="preserve"> condition or disability</w:t>
      </w:r>
      <w:r w:rsidRPr="00B52D18">
        <w:rPr>
          <w:sz w:val="21"/>
          <w:szCs w:val="21"/>
        </w:rPr>
        <w:t xml:space="preserve"> </w:t>
      </w:r>
    </w:p>
    <w:p w:rsidR="000644E3" w:rsidRPr="00B52D18" w:rsidRDefault="000644E3" w:rsidP="000644E3">
      <w:pPr>
        <w:pStyle w:val="Text"/>
        <w:rPr>
          <w:sz w:val="21"/>
          <w:szCs w:val="21"/>
        </w:rPr>
      </w:pPr>
      <w:r w:rsidRPr="00B52D18">
        <w:rPr>
          <w:sz w:val="21"/>
          <w:szCs w:val="21"/>
        </w:rPr>
        <w:t>If the student has a significant physical, medical or sensory difficulty, school and medical records are supplied to support an application for special assessment conditions that cater for physical or sensory difficulties.  For example Braille papers are provided for students who are legally blind and a writer is provided for a student who cannot write due to a physical disability.</w:t>
      </w:r>
    </w:p>
    <w:p w:rsidR="000644E3" w:rsidRPr="00B52D18" w:rsidRDefault="000644E3" w:rsidP="00B52D18">
      <w:pPr>
        <w:rPr>
          <w:rFonts w:ascii="Arial" w:eastAsiaTheme="majorEastAsia" w:hAnsi="Arial" w:cs="Arial"/>
          <w:b/>
          <w:color w:val="DE6420"/>
          <w:sz w:val="24"/>
          <w:szCs w:val="24"/>
        </w:rPr>
      </w:pPr>
      <w:r w:rsidRPr="00B52D18">
        <w:rPr>
          <w:rFonts w:ascii="Arial" w:eastAsiaTheme="majorEastAsia" w:hAnsi="Arial" w:cs="Arial"/>
          <w:b/>
          <w:color w:val="DE6420"/>
          <w:sz w:val="24"/>
          <w:szCs w:val="24"/>
        </w:rPr>
        <w:t xml:space="preserve">Learning disabilities  </w:t>
      </w:r>
    </w:p>
    <w:p w:rsidR="000644E3" w:rsidRPr="00B52D18" w:rsidRDefault="000644E3" w:rsidP="000644E3">
      <w:pPr>
        <w:pStyle w:val="Text"/>
        <w:rPr>
          <w:sz w:val="21"/>
          <w:szCs w:val="21"/>
        </w:rPr>
      </w:pPr>
      <w:r w:rsidRPr="00B52D18">
        <w:rPr>
          <w:sz w:val="21"/>
          <w:szCs w:val="21"/>
        </w:rPr>
        <w:t>There are two application pathways for students who have learning disabilities (which may be additional to a sensory or physical disability).</w:t>
      </w:r>
    </w:p>
    <w:p w:rsidR="000644E3" w:rsidRDefault="000644E3" w:rsidP="000644E3">
      <w:pPr>
        <w:pStyle w:val="Textsecondsubheading"/>
        <w:widowControl/>
        <w:numPr>
          <w:ilvl w:val="0"/>
          <w:numId w:val="24"/>
        </w:numPr>
        <w:adjustRightInd/>
        <w:jc w:val="left"/>
        <w:textAlignment w:val="auto"/>
        <w:rPr>
          <w:bCs/>
        </w:rPr>
      </w:pPr>
      <w:r w:rsidRPr="008A09DE">
        <w:rPr>
          <w:bCs/>
        </w:rPr>
        <w:t>Alternative evidence pathwa</w:t>
      </w:r>
      <w:r>
        <w:rPr>
          <w:bCs/>
        </w:rPr>
        <w:t>y</w:t>
      </w:r>
    </w:p>
    <w:p w:rsidR="000644E3" w:rsidRPr="00B52D18" w:rsidRDefault="000644E3" w:rsidP="000644E3">
      <w:pPr>
        <w:pStyle w:val="Default"/>
        <w:rPr>
          <w:rFonts w:ascii="Arial" w:hAnsi="Arial" w:cs="Times New Roman"/>
          <w:color w:val="auto"/>
          <w:sz w:val="21"/>
          <w:szCs w:val="21"/>
          <w:lang w:val="en-GB" w:eastAsia="en-US"/>
        </w:rPr>
      </w:pPr>
      <w:r w:rsidRPr="00B52D18">
        <w:rPr>
          <w:rFonts w:ascii="Arial" w:hAnsi="Arial" w:cs="Times New Roman"/>
          <w:color w:val="auto"/>
          <w:sz w:val="21"/>
          <w:szCs w:val="21"/>
          <w:lang w:val="en-GB" w:eastAsia="en-US"/>
        </w:rPr>
        <w:t xml:space="preserve">Alternative evidence can be collected by the school. </w:t>
      </w:r>
    </w:p>
    <w:p w:rsidR="000644E3" w:rsidRPr="00B52D18" w:rsidRDefault="000644E3" w:rsidP="000644E3">
      <w:pPr>
        <w:pStyle w:val="Default"/>
        <w:rPr>
          <w:rFonts w:ascii="Arial" w:hAnsi="Arial" w:cs="Times New Roman"/>
          <w:color w:val="auto"/>
          <w:sz w:val="21"/>
          <w:szCs w:val="21"/>
          <w:lang w:val="en-GB" w:eastAsia="en-US"/>
        </w:rPr>
      </w:pPr>
    </w:p>
    <w:p w:rsidR="000644E3" w:rsidRPr="00144C0F" w:rsidRDefault="000644E3" w:rsidP="000644E3">
      <w:pPr>
        <w:pStyle w:val="Default"/>
        <w:rPr>
          <w:rFonts w:ascii="Calibri" w:hAnsi="Calibri" w:cs="Calibri"/>
          <w:sz w:val="21"/>
          <w:szCs w:val="21"/>
        </w:rPr>
      </w:pPr>
      <w:r w:rsidRPr="00B52D18">
        <w:rPr>
          <w:rFonts w:ascii="Arial" w:hAnsi="Arial" w:cs="Times New Roman"/>
          <w:color w:val="auto"/>
          <w:sz w:val="21"/>
          <w:szCs w:val="21"/>
          <w:lang w:val="en-GB" w:eastAsia="en-US"/>
        </w:rPr>
        <w:t xml:space="preserve">A variety of evidence is acceptable but </w:t>
      </w:r>
      <w:r w:rsidRPr="00144C0F">
        <w:rPr>
          <w:rFonts w:ascii="Arial" w:hAnsi="Arial" w:cs="Times New Roman"/>
          <w:color w:val="auto"/>
          <w:sz w:val="21"/>
          <w:szCs w:val="21"/>
          <w:lang w:val="en-GB" w:eastAsia="en-US"/>
        </w:rPr>
        <w:t>evidence of teacher professional judgement is required to show that there is a disparity between the student’s subject knowledge and their ability to express this in a specific format. For example, a student’s ability to verbally discuss an answer, and their ability to record that answer in writing.</w:t>
      </w:r>
      <w:r w:rsidRPr="00B52D18">
        <w:rPr>
          <w:rFonts w:ascii="Calibri" w:hAnsi="Calibri" w:cs="Calibri"/>
          <w:sz w:val="21"/>
          <w:szCs w:val="21"/>
        </w:rPr>
        <w:t xml:space="preserve"> </w:t>
      </w:r>
      <w:r w:rsidRPr="00B52D18">
        <w:rPr>
          <w:rFonts w:ascii="Arial" w:hAnsi="Arial" w:cs="Times New Roman"/>
          <w:color w:val="auto"/>
          <w:sz w:val="21"/>
          <w:szCs w:val="21"/>
          <w:lang w:val="en-GB" w:eastAsia="en-US"/>
        </w:rPr>
        <w:t xml:space="preserve">Please refer to our </w:t>
      </w:r>
      <w:hyperlink r:id="rId15" w:history="1">
        <w:r w:rsidRPr="00144C0F">
          <w:rPr>
            <w:rStyle w:val="Hyperlink"/>
            <w:rFonts w:ascii="Arial" w:eastAsiaTheme="majorEastAsia" w:hAnsi="Arial" w:cs="Arial"/>
            <w:sz w:val="21"/>
            <w:szCs w:val="21"/>
          </w:rPr>
          <w:t>Tips for gathering alternative evidence</w:t>
        </w:r>
      </w:hyperlink>
      <w:r w:rsidRPr="00B52D18">
        <w:rPr>
          <w:rFonts w:ascii="Calibri" w:hAnsi="Calibri" w:cs="Calibri"/>
          <w:b/>
          <w:bCs/>
          <w:sz w:val="21"/>
          <w:szCs w:val="21"/>
        </w:rPr>
        <w:t xml:space="preserve">  </w:t>
      </w:r>
      <w:r w:rsidRPr="00B52D18">
        <w:rPr>
          <w:rFonts w:ascii="Arial" w:hAnsi="Arial" w:cs="Times New Roman"/>
          <w:color w:val="auto"/>
          <w:sz w:val="21"/>
          <w:szCs w:val="21"/>
          <w:lang w:val="en-GB" w:eastAsia="en-US"/>
        </w:rPr>
        <w:t>and Contact your School Relationship Manager (SRM) at NZQA for further guidance if required.</w:t>
      </w:r>
      <w:r w:rsidRPr="00B52D18">
        <w:rPr>
          <w:sz w:val="21"/>
          <w:szCs w:val="21"/>
        </w:rPr>
        <w:t xml:space="preserve"> </w:t>
      </w:r>
    </w:p>
    <w:p w:rsidR="000644E3" w:rsidRDefault="000644E3" w:rsidP="000644E3">
      <w:pPr>
        <w:pStyle w:val="Textsecondsubheading"/>
        <w:widowControl/>
        <w:numPr>
          <w:ilvl w:val="0"/>
          <w:numId w:val="24"/>
        </w:numPr>
        <w:adjustRightInd/>
        <w:jc w:val="left"/>
        <w:textAlignment w:val="auto"/>
        <w:rPr>
          <w:bCs/>
        </w:rPr>
      </w:pPr>
      <w:r>
        <w:rPr>
          <w:bCs/>
        </w:rPr>
        <w:t>Independent report pathway</w:t>
      </w:r>
    </w:p>
    <w:p w:rsidR="004861AC" w:rsidRPr="00B52D18" w:rsidRDefault="000644E3" w:rsidP="0002602A">
      <w:pPr>
        <w:pStyle w:val="Text"/>
        <w:jc w:val="left"/>
        <w:rPr>
          <w:sz w:val="21"/>
          <w:szCs w:val="21"/>
        </w:rPr>
      </w:pPr>
      <w:r w:rsidRPr="00B52D18">
        <w:rPr>
          <w:sz w:val="21"/>
          <w:szCs w:val="21"/>
        </w:rPr>
        <w:t xml:space="preserve">Schools may provide an up to date report by an independent registered professional, such as a New Zealand Council for Educational research (NZCER) level C assessor.  </w:t>
      </w:r>
    </w:p>
    <w:p w:rsidR="000644E3" w:rsidRPr="008D3300" w:rsidRDefault="000644E3" w:rsidP="0002602A">
      <w:pPr>
        <w:pStyle w:val="Text"/>
        <w:jc w:val="left"/>
      </w:pPr>
      <w:r w:rsidRPr="00B52D18">
        <w:rPr>
          <w:sz w:val="21"/>
          <w:szCs w:val="21"/>
        </w:rPr>
        <w:t>In addition, other reports from professionals, such as a speech/language therapist or medical professional, may be included to substantiate that the student's disability is a specific learning disability.  For example, an assistive technology application form can be provided to support applications to NZQA</w:t>
      </w:r>
      <w:r>
        <w:t>.</w:t>
      </w:r>
    </w:p>
    <w:p w:rsidR="000644E3" w:rsidRPr="000644E3" w:rsidRDefault="000644E3" w:rsidP="000644E3">
      <w:pPr>
        <w:pStyle w:val="Textsecondsubheading"/>
        <w:rPr>
          <w:rFonts w:eastAsiaTheme="majorEastAsia" w:cs="Arial"/>
          <w:i w:val="0"/>
          <w:color w:val="DE6420"/>
          <w:sz w:val="24"/>
          <w:lang w:val="en-NZ"/>
        </w:rPr>
      </w:pPr>
      <w:r w:rsidRPr="000644E3">
        <w:rPr>
          <w:rFonts w:eastAsiaTheme="majorEastAsia" w:cs="Arial"/>
          <w:i w:val="0"/>
          <w:color w:val="DE6420"/>
          <w:sz w:val="24"/>
          <w:lang w:val="en-NZ"/>
        </w:rPr>
        <w:t>Whose responsibility is it to make the application to NZQA?</w:t>
      </w:r>
    </w:p>
    <w:p w:rsidR="000644E3" w:rsidRPr="00B52D18" w:rsidRDefault="000644E3" w:rsidP="0002602A">
      <w:pPr>
        <w:pStyle w:val="Text"/>
        <w:jc w:val="left"/>
        <w:rPr>
          <w:sz w:val="21"/>
          <w:szCs w:val="21"/>
        </w:rPr>
      </w:pPr>
      <w:r w:rsidRPr="00B52D18">
        <w:rPr>
          <w:sz w:val="21"/>
          <w:szCs w:val="21"/>
        </w:rPr>
        <w:t>Applications for special assessment conditions are made by schools on behalf of the student.  Ministry of Education staff can support the process but are not responsible for it.</w:t>
      </w:r>
    </w:p>
    <w:p w:rsidR="004861AC" w:rsidRPr="00B52D18" w:rsidRDefault="000644E3" w:rsidP="00ED1CCE">
      <w:pPr>
        <w:pStyle w:val="Textsecondsubheading"/>
        <w:rPr>
          <w:i w:val="0"/>
          <w:sz w:val="21"/>
          <w:szCs w:val="21"/>
        </w:rPr>
      </w:pPr>
      <w:r w:rsidRPr="00B52D18">
        <w:rPr>
          <w:i w:val="0"/>
          <w:sz w:val="21"/>
          <w:szCs w:val="21"/>
        </w:rPr>
        <w:t xml:space="preserve">If you have any queries please contact </w:t>
      </w:r>
      <w:hyperlink r:id="rId16" w:history="1">
        <w:r w:rsidRPr="00B52D18">
          <w:rPr>
            <w:rStyle w:val="Hyperlink"/>
            <w:rFonts w:eastAsiaTheme="majorEastAsia"/>
            <w:i w:val="0"/>
            <w:sz w:val="21"/>
            <w:szCs w:val="21"/>
          </w:rPr>
          <w:t>NZQA</w:t>
        </w:r>
      </w:hyperlink>
      <w:bookmarkStart w:id="2" w:name="_Toc280018599"/>
      <w:bookmarkStart w:id="3" w:name="_Toc280018716"/>
      <w:bookmarkStart w:id="4" w:name="_Toc280351741"/>
    </w:p>
    <w:p w:rsidR="00ED1CCE" w:rsidRDefault="00B7205B" w:rsidP="00ED1CCE">
      <w:pPr>
        <w:pStyle w:val="Textsecondsubheading"/>
        <w:rPr>
          <w:rFonts w:cs="Arial"/>
          <w:noProof/>
          <w:color w:val="1B3A79" w:themeColor="accent1" w:themeShade="BF"/>
          <w:sz w:val="32"/>
          <w:szCs w:val="32"/>
          <w:lang w:eastAsia="en-NZ"/>
        </w:rPr>
      </w:pPr>
      <w:r>
        <w:rPr>
          <w:rFonts w:cs="Arial"/>
          <w:noProof/>
          <w:color w:val="1B3A79" w:themeColor="accent1" w:themeShade="BF"/>
          <w:sz w:val="32"/>
          <w:szCs w:val="32"/>
          <w:lang w:eastAsia="en-NZ"/>
        </w:rPr>
        <w:pict>
          <v:shapetype id="_x0000_t202" coordsize="21600,21600" o:spt="202" path="m,l,21600r21600,l21600,xe">
            <v:stroke joinstyle="miter"/>
            <v:path gradientshapeok="t" o:connecttype="rect"/>
          </v:shapetype>
          <v:shape id="Text Box 2" o:spid="_x0000_s1031" type="#_x0000_t202" style="position:absolute;left:0;text-align:left;margin-left:-1.3pt;margin-top:10.6pt;width:496.7pt;height:53.4pt;z-index:-251658752;visibility:visible" fillcolor="#de6420" stroked="f">
            <v:shadow color="#164486" origin="-.5,-.5" offset=".1307mm,1.49431mm"/>
            <v:textbox style="mso-next-textbox:#Text Box 2" inset="4mm,4mm,4mm,4mm">
              <w:txbxContent>
                <w:p w:rsidR="0002602A" w:rsidRPr="00FE16FA" w:rsidRDefault="0002602A" w:rsidP="00B52D18">
                  <w:pPr>
                    <w:pStyle w:val="FeatureTextinbox"/>
                    <w:jc w:val="center"/>
                  </w:pPr>
                  <w:r>
                    <w:t>If you have any queries, please contact the assistive technology coordinator at your local Ministry of Education office.</w:t>
                  </w:r>
                </w:p>
              </w:txbxContent>
            </v:textbox>
          </v:shape>
        </w:pict>
      </w:r>
      <w:bookmarkEnd w:id="2"/>
      <w:bookmarkEnd w:id="3"/>
      <w:bookmarkEnd w:id="4"/>
    </w:p>
    <w:p w:rsidR="00ED1CCE" w:rsidRDefault="00ED1CCE" w:rsidP="00ED1CCE">
      <w:pPr>
        <w:pStyle w:val="Text"/>
        <w:rPr>
          <w:lang w:eastAsia="en-NZ"/>
        </w:rPr>
      </w:pPr>
    </w:p>
    <w:p w:rsidR="004861AC" w:rsidRDefault="004861AC" w:rsidP="00ED1CCE">
      <w:pPr>
        <w:pStyle w:val="Text"/>
        <w:rPr>
          <w:lang w:eastAsia="en-NZ"/>
        </w:rPr>
      </w:pPr>
    </w:p>
    <w:p w:rsidR="004861AC" w:rsidRDefault="004861AC" w:rsidP="00ED1CCE">
      <w:pPr>
        <w:pStyle w:val="Text"/>
        <w:rPr>
          <w:lang w:eastAsia="en-NZ"/>
        </w:rPr>
      </w:pPr>
    </w:p>
    <w:p w:rsidR="004861AC" w:rsidRDefault="004861AC" w:rsidP="00ED1CCE">
      <w:pPr>
        <w:pStyle w:val="Text"/>
        <w:rPr>
          <w:lang w:eastAsia="en-NZ"/>
        </w:rPr>
      </w:pPr>
    </w:p>
    <w:p w:rsidR="004861AC" w:rsidRDefault="004861AC" w:rsidP="00ED1CCE">
      <w:pPr>
        <w:pStyle w:val="Text"/>
        <w:rPr>
          <w:lang w:eastAsia="en-NZ"/>
        </w:rPr>
      </w:pPr>
    </w:p>
    <w:p w:rsidR="004861AC" w:rsidRDefault="004861AC" w:rsidP="00ED1CCE">
      <w:pPr>
        <w:pStyle w:val="Text"/>
        <w:rPr>
          <w:lang w:eastAsia="en-NZ"/>
        </w:rPr>
      </w:pPr>
    </w:p>
    <w:p w:rsidR="00ED1CCE" w:rsidRPr="00ED1CCE" w:rsidRDefault="00ED1CCE" w:rsidP="00ED1CCE">
      <w:pPr>
        <w:pStyle w:val="Text"/>
        <w:rPr>
          <w:lang w:eastAsia="en-NZ"/>
        </w:rPr>
        <w:sectPr w:rsidR="00ED1CCE" w:rsidRPr="00ED1CCE" w:rsidSect="00B52D18">
          <w:headerReference w:type="even" r:id="rId17"/>
          <w:headerReference w:type="default" r:id="rId18"/>
          <w:headerReference w:type="first" r:id="rId19"/>
          <w:endnotePr>
            <w:numFmt w:val="decimal"/>
          </w:endnotePr>
          <w:type w:val="continuous"/>
          <w:pgSz w:w="11906" w:h="16838"/>
          <w:pgMar w:top="1588" w:right="1274" w:bottom="1701" w:left="907" w:header="426" w:footer="709" w:gutter="0"/>
          <w:cols w:space="708"/>
          <w:titlePg/>
          <w:docGrid w:linePitch="360"/>
        </w:sectPr>
      </w:pPr>
    </w:p>
    <w:p w:rsidR="00ED1CCE" w:rsidRDefault="00ED1CCE" w:rsidP="00ED1CCE">
      <w:pPr>
        <w:pStyle w:val="Textsecondsubheading"/>
        <w:rPr>
          <w:rFonts w:cs="Arial"/>
        </w:rPr>
      </w:pPr>
    </w:p>
    <w:p w:rsidR="00ED1CCE" w:rsidRPr="00ED1CCE" w:rsidRDefault="00ED1CCE" w:rsidP="00ED1CCE">
      <w:pPr>
        <w:pStyle w:val="Text"/>
      </w:pPr>
    </w:p>
    <w:sectPr w:rsidR="00ED1CCE" w:rsidRPr="00ED1CCE" w:rsidSect="00B52D18">
      <w:endnotePr>
        <w:numFmt w:val="decimal"/>
      </w:endnotePr>
      <w:type w:val="continuous"/>
      <w:pgSz w:w="11906" w:h="16838"/>
      <w:pgMar w:top="1588" w:right="1274" w:bottom="1701" w:left="907"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2A" w:rsidRDefault="0002602A" w:rsidP="00882F80">
      <w:pPr>
        <w:spacing w:after="0" w:line="240" w:lineRule="auto"/>
      </w:pPr>
      <w:r>
        <w:separator/>
      </w:r>
    </w:p>
  </w:endnote>
  <w:endnote w:type="continuationSeparator" w:id="0">
    <w:p w:rsidR="0002602A" w:rsidRDefault="0002602A"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0F" w:rsidRPr="00B7205B" w:rsidRDefault="00B7205B" w:rsidP="00B7205B">
    <w:pPr>
      <w:pStyle w:val="Footer"/>
      <w:tabs>
        <w:tab w:val="clear" w:pos="9026"/>
        <w:tab w:val="right" w:pos="9639"/>
      </w:tabs>
      <w:rPr>
        <w:rFonts w:ascii="Arial" w:hAnsi="Arial" w:cs="Arial"/>
        <w:sz w:val="20"/>
        <w:szCs w:val="20"/>
      </w:rPr>
    </w:pPr>
    <w:r w:rsidRPr="00B7205B">
      <w:rPr>
        <w:rFonts w:ascii="Arial" w:hAnsi="Arial" w:cs="Arial"/>
        <w:sz w:val="20"/>
        <w:szCs w:val="20"/>
      </w:rPr>
      <w:t>January 2019</w:t>
    </w:r>
    <w:r w:rsidRPr="00B7205B">
      <w:rPr>
        <w:rFonts w:ascii="Arial" w:hAnsi="Arial" w:cs="Arial"/>
        <w:sz w:val="20"/>
        <w:szCs w:val="20"/>
      </w:rPr>
      <w:tab/>
    </w:r>
    <w:r w:rsidRPr="00B7205B">
      <w:rPr>
        <w:rFonts w:ascii="Arial" w:hAnsi="Arial" w:cs="Arial"/>
        <w:sz w:val="20"/>
        <w:szCs w:val="20"/>
      </w:rPr>
      <w:tab/>
      <w:t xml:space="preserve">Page </w:t>
    </w:r>
    <w:r w:rsidRPr="00B7205B">
      <w:rPr>
        <w:rFonts w:ascii="Arial" w:hAnsi="Arial" w:cs="Arial"/>
        <w:sz w:val="20"/>
        <w:szCs w:val="20"/>
      </w:rPr>
      <w:fldChar w:fldCharType="begin"/>
    </w:r>
    <w:r w:rsidRPr="00B7205B">
      <w:rPr>
        <w:rFonts w:ascii="Arial" w:hAnsi="Arial" w:cs="Arial"/>
        <w:sz w:val="20"/>
        <w:szCs w:val="20"/>
      </w:rPr>
      <w:instrText xml:space="preserve"> PAGE   \* MERGEFORMAT </w:instrText>
    </w:r>
    <w:r w:rsidRPr="00B7205B">
      <w:rPr>
        <w:rFonts w:ascii="Arial" w:hAnsi="Arial" w:cs="Arial"/>
        <w:sz w:val="20"/>
        <w:szCs w:val="20"/>
      </w:rPr>
      <w:fldChar w:fldCharType="separate"/>
    </w:r>
    <w:r>
      <w:rPr>
        <w:rFonts w:ascii="Arial" w:hAnsi="Arial" w:cs="Arial"/>
        <w:noProof/>
        <w:sz w:val="20"/>
        <w:szCs w:val="20"/>
      </w:rPr>
      <w:t>2</w:t>
    </w:r>
    <w:r w:rsidRPr="00B7205B">
      <w:rPr>
        <w:rFonts w:ascii="Arial" w:hAnsi="Arial" w:cs="Arial"/>
        <w:sz w:val="20"/>
        <w:szCs w:val="20"/>
      </w:rPr>
      <w:fldChar w:fldCharType="end"/>
    </w:r>
    <w:r w:rsidRPr="00B7205B">
      <w:rPr>
        <w:rFonts w:ascii="Arial" w:hAnsi="Arial" w:cs="Arial"/>
        <w:sz w:val="20"/>
        <w:szCs w:val="20"/>
      </w:rPr>
      <w:t xml:space="preserve"> of </w:t>
    </w:r>
    <w:r w:rsidRPr="00B7205B">
      <w:rPr>
        <w:rFonts w:ascii="Arial" w:hAnsi="Arial" w:cs="Arial"/>
        <w:sz w:val="20"/>
        <w:szCs w:val="20"/>
      </w:rPr>
      <w:fldChar w:fldCharType="begin"/>
    </w:r>
    <w:r w:rsidRPr="00B7205B">
      <w:rPr>
        <w:rFonts w:ascii="Arial" w:hAnsi="Arial" w:cs="Arial"/>
        <w:sz w:val="20"/>
        <w:szCs w:val="20"/>
      </w:rPr>
      <w:instrText xml:space="preserve"> NUMPAGES   \* MERGEFORMAT </w:instrText>
    </w:r>
    <w:r w:rsidRPr="00B7205B">
      <w:rPr>
        <w:rFonts w:ascii="Arial" w:hAnsi="Arial" w:cs="Arial"/>
        <w:sz w:val="20"/>
        <w:szCs w:val="20"/>
      </w:rPr>
      <w:fldChar w:fldCharType="separate"/>
    </w:r>
    <w:r>
      <w:rPr>
        <w:rFonts w:ascii="Arial" w:hAnsi="Arial" w:cs="Arial"/>
        <w:noProof/>
        <w:sz w:val="20"/>
        <w:szCs w:val="20"/>
      </w:rPr>
      <w:t>2</w:t>
    </w:r>
    <w:r w:rsidRPr="00B7205B">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2A" w:rsidRPr="00B7205B" w:rsidRDefault="00B7205B">
    <w:pPr>
      <w:pStyle w:val="Footer"/>
      <w:rPr>
        <w:rFonts w:ascii="Arial" w:hAnsi="Arial" w:cs="Arial"/>
        <w:sz w:val="20"/>
        <w:szCs w:val="20"/>
      </w:rPr>
    </w:pPr>
    <w:r w:rsidRPr="00B7205B">
      <w:rPr>
        <w:rFonts w:ascii="Arial" w:hAnsi="Arial" w:cs="Arial"/>
        <w:sz w:val="20"/>
        <w:szCs w:val="20"/>
      </w:rPr>
      <w:t>January 2019</w:t>
    </w:r>
    <w:r w:rsidRPr="00B7205B">
      <w:rPr>
        <w:rFonts w:ascii="Arial" w:hAnsi="Arial" w:cs="Arial"/>
        <w:sz w:val="20"/>
        <w:szCs w:val="20"/>
      </w:rPr>
      <w:tab/>
    </w:r>
    <w:r w:rsidRPr="00B7205B">
      <w:rPr>
        <w:rFonts w:ascii="Arial" w:hAnsi="Arial" w:cs="Arial"/>
        <w:sz w:val="20"/>
        <w:szCs w:val="20"/>
      </w:rPr>
      <w:tab/>
      <w:t xml:space="preserve">Page </w:t>
    </w:r>
    <w:r w:rsidRPr="00B7205B">
      <w:rPr>
        <w:rFonts w:ascii="Arial" w:hAnsi="Arial" w:cs="Arial"/>
        <w:sz w:val="20"/>
        <w:szCs w:val="20"/>
      </w:rPr>
      <w:fldChar w:fldCharType="begin"/>
    </w:r>
    <w:r w:rsidRPr="00B7205B">
      <w:rPr>
        <w:rFonts w:ascii="Arial" w:hAnsi="Arial" w:cs="Arial"/>
        <w:sz w:val="20"/>
        <w:szCs w:val="20"/>
      </w:rPr>
      <w:instrText xml:space="preserve"> PAGE   \* MERGEFORMAT </w:instrText>
    </w:r>
    <w:r w:rsidRPr="00B7205B">
      <w:rPr>
        <w:rFonts w:ascii="Arial" w:hAnsi="Arial" w:cs="Arial"/>
        <w:sz w:val="20"/>
        <w:szCs w:val="20"/>
      </w:rPr>
      <w:fldChar w:fldCharType="separate"/>
    </w:r>
    <w:r>
      <w:rPr>
        <w:rFonts w:ascii="Arial" w:hAnsi="Arial" w:cs="Arial"/>
        <w:noProof/>
        <w:sz w:val="20"/>
        <w:szCs w:val="20"/>
      </w:rPr>
      <w:t>1</w:t>
    </w:r>
    <w:r w:rsidRPr="00B7205B">
      <w:rPr>
        <w:rFonts w:ascii="Arial" w:hAnsi="Arial" w:cs="Arial"/>
        <w:sz w:val="20"/>
        <w:szCs w:val="20"/>
      </w:rPr>
      <w:fldChar w:fldCharType="end"/>
    </w:r>
    <w:r w:rsidRPr="00B7205B">
      <w:rPr>
        <w:rFonts w:ascii="Arial" w:hAnsi="Arial" w:cs="Arial"/>
        <w:sz w:val="20"/>
        <w:szCs w:val="20"/>
      </w:rPr>
      <w:t xml:space="preserve"> of </w:t>
    </w:r>
    <w:r w:rsidRPr="00B7205B">
      <w:rPr>
        <w:rFonts w:ascii="Arial" w:hAnsi="Arial" w:cs="Arial"/>
        <w:sz w:val="20"/>
        <w:szCs w:val="20"/>
      </w:rPr>
      <w:fldChar w:fldCharType="begin"/>
    </w:r>
    <w:r w:rsidRPr="00B7205B">
      <w:rPr>
        <w:rFonts w:ascii="Arial" w:hAnsi="Arial" w:cs="Arial"/>
        <w:sz w:val="20"/>
        <w:szCs w:val="20"/>
      </w:rPr>
      <w:instrText xml:space="preserve"> NUMPAGES   \* MERGEFORMAT </w:instrText>
    </w:r>
    <w:r w:rsidRPr="00B7205B">
      <w:rPr>
        <w:rFonts w:ascii="Arial" w:hAnsi="Arial" w:cs="Arial"/>
        <w:sz w:val="20"/>
        <w:szCs w:val="20"/>
      </w:rPr>
      <w:fldChar w:fldCharType="separate"/>
    </w:r>
    <w:r>
      <w:rPr>
        <w:rFonts w:ascii="Arial" w:hAnsi="Arial" w:cs="Arial"/>
        <w:noProof/>
        <w:sz w:val="20"/>
        <w:szCs w:val="20"/>
      </w:rPr>
      <w:t>2</w:t>
    </w:r>
    <w:r w:rsidRPr="00B7205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2A" w:rsidRDefault="0002602A" w:rsidP="00882F80">
      <w:pPr>
        <w:spacing w:after="0" w:line="240" w:lineRule="auto"/>
      </w:pPr>
      <w:r>
        <w:separator/>
      </w:r>
    </w:p>
  </w:footnote>
  <w:footnote w:type="continuationSeparator" w:id="0">
    <w:p w:rsidR="0002602A" w:rsidRDefault="0002602A" w:rsidP="00882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2A" w:rsidRDefault="0002602A">
    <w:pPr>
      <w:pStyle w:val="Header"/>
    </w:pPr>
    <w:r>
      <w:rPr>
        <w:noProof/>
        <w:lang w:eastAsia="en-NZ"/>
      </w:rPr>
      <w:drawing>
        <wp:inline distT="0" distB="0" distL="0" distR="0">
          <wp:extent cx="6175375" cy="894080"/>
          <wp:effectExtent l="19050" t="0" r="0" b="0"/>
          <wp:docPr id="1" name="Picture 0"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a:stretch>
                    <a:fillRect/>
                  </a:stretch>
                </pic:blipFill>
                <pic:spPr>
                  <a:xfrm>
                    <a:off x="0" y="0"/>
                    <a:ext cx="6175375" cy="894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2A" w:rsidRDefault="00026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2A" w:rsidRDefault="004F1918" w:rsidP="00E366A9">
    <w:pPr>
      <w:pStyle w:val="Header"/>
      <w:framePr w:wrap="around" w:vAnchor="text" w:hAnchor="margin" w:xAlign="center" w:y="1"/>
      <w:rPr>
        <w:rStyle w:val="PageNumber"/>
      </w:rPr>
    </w:pPr>
    <w:r>
      <w:rPr>
        <w:rStyle w:val="PageNumber"/>
      </w:rPr>
      <w:fldChar w:fldCharType="begin"/>
    </w:r>
    <w:r w:rsidR="0002602A">
      <w:rPr>
        <w:rStyle w:val="PageNumber"/>
      </w:rPr>
      <w:instrText xml:space="preserve">PAGE  </w:instrText>
    </w:r>
    <w:r>
      <w:rPr>
        <w:rStyle w:val="PageNumber"/>
      </w:rPr>
      <w:fldChar w:fldCharType="separate"/>
    </w:r>
    <w:r w:rsidR="00B7205B">
      <w:rPr>
        <w:rStyle w:val="PageNumber"/>
        <w:noProof/>
      </w:rPr>
      <w:t>2</w:t>
    </w:r>
    <w:r>
      <w:rPr>
        <w:rStyle w:val="PageNumber"/>
      </w:rPr>
      <w:fldChar w:fldCharType="end"/>
    </w:r>
  </w:p>
  <w:p w:rsidR="0002602A" w:rsidRDefault="0002602A" w:rsidP="00E366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2A" w:rsidRDefault="00026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8E6D7B"/>
    <w:multiLevelType w:val="multilevel"/>
    <w:tmpl w:val="D8BC37F4"/>
    <w:lvl w:ilvl="0">
      <w:start w:val="1"/>
      <w:numFmt w:val="decimal"/>
      <w:pStyle w:val="Numbering"/>
      <w:lvlText w:val="%1."/>
      <w:lvlJc w:val="left"/>
      <w:pPr>
        <w:tabs>
          <w:tab w:val="num" w:pos="357"/>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E0A471A"/>
    <w:multiLevelType w:val="hybridMultilevel"/>
    <w:tmpl w:val="7054BC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0FB01E0"/>
    <w:multiLevelType w:val="hybridMultilevel"/>
    <w:tmpl w:val="2BFA7508"/>
    <w:lvl w:ilvl="0" w:tplc="7628815E">
      <w:start w:val="1"/>
      <w:numFmt w:val="bullet"/>
      <w:pStyle w:val="Bullet"/>
      <w:lvlText w:val=""/>
      <w:lvlJc w:val="left"/>
      <w:pPr>
        <w:tabs>
          <w:tab w:val="num" w:pos="357"/>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259E49B5"/>
    <w:multiLevelType w:val="hybridMultilevel"/>
    <w:tmpl w:val="E82A34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1"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2"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4D1E3A05"/>
    <w:multiLevelType w:val="hybridMultilevel"/>
    <w:tmpl w:val="1F7C1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576FD0"/>
    <w:multiLevelType w:val="hybridMultilevel"/>
    <w:tmpl w:val="81BA2E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
  </w:num>
  <w:num w:numId="4">
    <w:abstractNumId w:val="18"/>
    <w:lvlOverride w:ilvl="0">
      <w:startOverride w:val="1"/>
    </w:lvlOverride>
  </w:num>
  <w:num w:numId="5">
    <w:abstractNumId w:val="1"/>
  </w:num>
  <w:num w:numId="6">
    <w:abstractNumId w:val="10"/>
  </w:num>
  <w:num w:numId="7">
    <w:abstractNumId w:val="11"/>
  </w:num>
  <w:num w:numId="8">
    <w:abstractNumId w:val="7"/>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9"/>
  </w:num>
  <w:num w:numId="13">
    <w:abstractNumId w:val="2"/>
  </w:num>
  <w:num w:numId="14">
    <w:abstractNumId w:val="12"/>
  </w:num>
  <w:num w:numId="15">
    <w:abstractNumId w:val="0"/>
  </w:num>
  <w:num w:numId="16">
    <w:abstractNumId w:val="14"/>
  </w:num>
  <w:num w:numId="17">
    <w:abstractNumId w:val="17"/>
  </w:num>
  <w:num w:numId="18">
    <w:abstractNumId w:val="13"/>
  </w:num>
  <w:num w:numId="19">
    <w:abstractNumId w:val="6"/>
  </w:num>
  <w:num w:numId="20">
    <w:abstractNumId w:val="4"/>
  </w:num>
  <w:num w:numId="21">
    <w:abstractNumId w:val="15"/>
  </w:num>
  <w:num w:numId="22">
    <w:abstractNumId w:val="8"/>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53249">
      <o:colormru v:ext="edit" colors="#0063af,#2a6ebb"/>
      <o:colormenu v:ext="edit" fillcolor="#2a6ebb" strokecolor="none" shadowcolor="none"/>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9E6FDC"/>
    <w:rsid w:val="00006FB5"/>
    <w:rsid w:val="0002273B"/>
    <w:rsid w:val="0002602A"/>
    <w:rsid w:val="0004224B"/>
    <w:rsid w:val="00047BAC"/>
    <w:rsid w:val="000644E3"/>
    <w:rsid w:val="0009169C"/>
    <w:rsid w:val="000933C9"/>
    <w:rsid w:val="000A5A25"/>
    <w:rsid w:val="000A5EA2"/>
    <w:rsid w:val="000F6F67"/>
    <w:rsid w:val="001233B0"/>
    <w:rsid w:val="001240F2"/>
    <w:rsid w:val="00126398"/>
    <w:rsid w:val="00144C0F"/>
    <w:rsid w:val="001532C9"/>
    <w:rsid w:val="00161D45"/>
    <w:rsid w:val="00174FF8"/>
    <w:rsid w:val="0017745B"/>
    <w:rsid w:val="00195CC0"/>
    <w:rsid w:val="001A594F"/>
    <w:rsid w:val="001B60F4"/>
    <w:rsid w:val="001B6D50"/>
    <w:rsid w:val="001C3BDC"/>
    <w:rsid w:val="001D6412"/>
    <w:rsid w:val="001F42EA"/>
    <w:rsid w:val="001F7C54"/>
    <w:rsid w:val="0025544F"/>
    <w:rsid w:val="00290667"/>
    <w:rsid w:val="002A13F2"/>
    <w:rsid w:val="002A5558"/>
    <w:rsid w:val="002B3091"/>
    <w:rsid w:val="002E096A"/>
    <w:rsid w:val="00330021"/>
    <w:rsid w:val="00331714"/>
    <w:rsid w:val="00390616"/>
    <w:rsid w:val="003A2808"/>
    <w:rsid w:val="003B172C"/>
    <w:rsid w:val="003B348C"/>
    <w:rsid w:val="003E4C39"/>
    <w:rsid w:val="003F7C66"/>
    <w:rsid w:val="00410E6C"/>
    <w:rsid w:val="0043397A"/>
    <w:rsid w:val="00443E43"/>
    <w:rsid w:val="00467383"/>
    <w:rsid w:val="004861AC"/>
    <w:rsid w:val="00493E8A"/>
    <w:rsid w:val="004B15C2"/>
    <w:rsid w:val="004C592F"/>
    <w:rsid w:val="004D450D"/>
    <w:rsid w:val="004E1F5D"/>
    <w:rsid w:val="004F1918"/>
    <w:rsid w:val="004F272C"/>
    <w:rsid w:val="005602C6"/>
    <w:rsid w:val="0056516F"/>
    <w:rsid w:val="00582135"/>
    <w:rsid w:val="00597A0A"/>
    <w:rsid w:val="005A36FF"/>
    <w:rsid w:val="005D28C9"/>
    <w:rsid w:val="005F3255"/>
    <w:rsid w:val="00617F94"/>
    <w:rsid w:val="006241D3"/>
    <w:rsid w:val="0063003B"/>
    <w:rsid w:val="00655D65"/>
    <w:rsid w:val="006A65C1"/>
    <w:rsid w:val="006A6FDE"/>
    <w:rsid w:val="006B3CF4"/>
    <w:rsid w:val="006B57EB"/>
    <w:rsid w:val="006D5585"/>
    <w:rsid w:val="006E18D7"/>
    <w:rsid w:val="006E199B"/>
    <w:rsid w:val="00703435"/>
    <w:rsid w:val="00751395"/>
    <w:rsid w:val="00755E5A"/>
    <w:rsid w:val="0077104A"/>
    <w:rsid w:val="007721BE"/>
    <w:rsid w:val="007818BC"/>
    <w:rsid w:val="00782E5D"/>
    <w:rsid w:val="007A21D0"/>
    <w:rsid w:val="007B1EDB"/>
    <w:rsid w:val="007B224F"/>
    <w:rsid w:val="007F3629"/>
    <w:rsid w:val="00802F68"/>
    <w:rsid w:val="00810E53"/>
    <w:rsid w:val="00853D88"/>
    <w:rsid w:val="0086005E"/>
    <w:rsid w:val="00882F80"/>
    <w:rsid w:val="008B3AA0"/>
    <w:rsid w:val="00902E12"/>
    <w:rsid w:val="00911F27"/>
    <w:rsid w:val="009236E4"/>
    <w:rsid w:val="00934C5D"/>
    <w:rsid w:val="00943642"/>
    <w:rsid w:val="0098258E"/>
    <w:rsid w:val="009C361F"/>
    <w:rsid w:val="009C6404"/>
    <w:rsid w:val="009C7F3F"/>
    <w:rsid w:val="009E3D96"/>
    <w:rsid w:val="009E6FDC"/>
    <w:rsid w:val="009E7820"/>
    <w:rsid w:val="009F1D0E"/>
    <w:rsid w:val="00A10BDD"/>
    <w:rsid w:val="00A2213F"/>
    <w:rsid w:val="00A26C6A"/>
    <w:rsid w:val="00A30967"/>
    <w:rsid w:val="00A624B0"/>
    <w:rsid w:val="00A86618"/>
    <w:rsid w:val="00A93605"/>
    <w:rsid w:val="00A975CB"/>
    <w:rsid w:val="00AB57E5"/>
    <w:rsid w:val="00AE25D9"/>
    <w:rsid w:val="00AE5FEA"/>
    <w:rsid w:val="00AF34FD"/>
    <w:rsid w:val="00AF4123"/>
    <w:rsid w:val="00B52D18"/>
    <w:rsid w:val="00B7205B"/>
    <w:rsid w:val="00BC1E71"/>
    <w:rsid w:val="00C06558"/>
    <w:rsid w:val="00C23B48"/>
    <w:rsid w:val="00C36305"/>
    <w:rsid w:val="00C51159"/>
    <w:rsid w:val="00C74AB7"/>
    <w:rsid w:val="00CA47BB"/>
    <w:rsid w:val="00CB4EDF"/>
    <w:rsid w:val="00CD518E"/>
    <w:rsid w:val="00CE352C"/>
    <w:rsid w:val="00CE4BBE"/>
    <w:rsid w:val="00CE5BD6"/>
    <w:rsid w:val="00CE5D88"/>
    <w:rsid w:val="00CE7F08"/>
    <w:rsid w:val="00CF1480"/>
    <w:rsid w:val="00CF1982"/>
    <w:rsid w:val="00CF1AF9"/>
    <w:rsid w:val="00D11AA6"/>
    <w:rsid w:val="00D23436"/>
    <w:rsid w:val="00D46ECE"/>
    <w:rsid w:val="00D60F9A"/>
    <w:rsid w:val="00D64D49"/>
    <w:rsid w:val="00D658F0"/>
    <w:rsid w:val="00D71646"/>
    <w:rsid w:val="00D775C7"/>
    <w:rsid w:val="00D82ED9"/>
    <w:rsid w:val="00DA30FC"/>
    <w:rsid w:val="00DF10B3"/>
    <w:rsid w:val="00E048A1"/>
    <w:rsid w:val="00E35E76"/>
    <w:rsid w:val="00E366A9"/>
    <w:rsid w:val="00E61406"/>
    <w:rsid w:val="00E756D6"/>
    <w:rsid w:val="00E86C0A"/>
    <w:rsid w:val="00E87337"/>
    <w:rsid w:val="00E93750"/>
    <w:rsid w:val="00E958D3"/>
    <w:rsid w:val="00EA18BC"/>
    <w:rsid w:val="00EA2306"/>
    <w:rsid w:val="00ED1CCE"/>
    <w:rsid w:val="00ED6382"/>
    <w:rsid w:val="00F64AD9"/>
    <w:rsid w:val="00F71819"/>
    <w:rsid w:val="00F87413"/>
    <w:rsid w:val="00F92188"/>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0063af,#2a6ebb"/>
      <o:colormenu v:ext="edit" fillcolor="#2a6ebb"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30021"/>
  </w:style>
  <w:style w:type="paragraph" w:styleId="Heading1">
    <w:name w:val="heading 1"/>
    <w:aliases w:val="Red Heading 1"/>
    <w:basedOn w:val="Normal"/>
    <w:next w:val="Normal"/>
    <w:link w:val="Heading1Char"/>
    <w:uiPriority w:val="9"/>
    <w:qFormat/>
    <w:rsid w:val="00882F80"/>
    <w:pPr>
      <w:keepNext/>
      <w:keepLines/>
      <w:spacing w:before="240" w:after="0"/>
      <w:outlineLvl w:val="0"/>
    </w:pPr>
    <w:rPr>
      <w:rFonts w:asciiTheme="majorHAnsi" w:eastAsiaTheme="majorEastAsia" w:hAnsiTheme="majorHAnsi" w:cstheme="majorBidi"/>
      <w:color w:val="1B3A79" w:themeColor="accent1" w:themeShade="BF"/>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597A0A"/>
    <w:pPr>
      <w:spacing w:after="120" w:line="240" w:lineRule="atLeast"/>
    </w:pPr>
    <w:rPr>
      <w:rFonts w:ascii="Arial" w:hAnsi="Arial" w:cs="Arial"/>
      <w:b/>
      <w:color w:val="3F92CF"/>
      <w:sz w:val="56"/>
      <w:szCs w:val="56"/>
    </w:rPr>
  </w:style>
  <w:style w:type="paragraph" w:customStyle="1" w:styleId="MoECoverPageSubheading">
    <w:name w:val="MoE: Cover Page Subheading"/>
    <w:basedOn w:val="Normal"/>
    <w:link w:val="MoECoverPageSubheadingChar"/>
    <w:qFormat/>
    <w:rsid w:val="00597A0A"/>
    <w:rPr>
      <w:rFonts w:ascii="Arial" w:hAnsi="Arial" w:cs="Arial"/>
      <w:color w:val="3F92CF"/>
      <w:sz w:val="28"/>
      <w:szCs w:val="28"/>
    </w:rPr>
  </w:style>
  <w:style w:type="character" w:customStyle="1" w:styleId="MoECoverPageHeadingChar">
    <w:name w:val="MoE: Cover Page Heading Char"/>
    <w:basedOn w:val="DefaultParagraphFont"/>
    <w:link w:val="MoECoverPageHeading"/>
    <w:rsid w:val="00597A0A"/>
    <w:rPr>
      <w:rFonts w:ascii="Arial" w:hAnsi="Arial" w:cs="Arial"/>
      <w:b/>
      <w:color w:val="3F92CF"/>
      <w:sz w:val="56"/>
      <w:szCs w:val="56"/>
    </w:rPr>
  </w:style>
  <w:style w:type="paragraph" w:customStyle="1" w:styleId="MoEHeading1">
    <w:name w:val="MoE: Heading 1"/>
    <w:basedOn w:val="Heading1"/>
    <w:next w:val="MoEBodyText"/>
    <w:link w:val="MoEHeading1Char"/>
    <w:qFormat/>
    <w:rsid w:val="00597A0A"/>
    <w:pPr>
      <w:spacing w:before="0" w:after="840" w:line="240" w:lineRule="auto"/>
    </w:pPr>
    <w:rPr>
      <w:rFonts w:ascii="Arial" w:hAnsi="Arial" w:cs="Arial"/>
      <w:b/>
      <w:color w:val="3F92CF"/>
      <w:sz w:val="44"/>
      <w:szCs w:val="44"/>
    </w:rPr>
  </w:style>
  <w:style w:type="character" w:customStyle="1" w:styleId="MoECoverPageSubheadingChar">
    <w:name w:val="MoE: Cover Page Subheading Char"/>
    <w:basedOn w:val="DefaultParagraphFont"/>
    <w:link w:val="MoECoverPageSubheading"/>
    <w:rsid w:val="00597A0A"/>
    <w:rPr>
      <w:rFonts w:ascii="Arial" w:hAnsi="Arial" w:cs="Arial"/>
      <w:color w:val="3F92CF"/>
      <w:sz w:val="28"/>
      <w:szCs w:val="28"/>
    </w:rPr>
  </w:style>
  <w:style w:type="paragraph" w:customStyle="1" w:styleId="MoEHeading2">
    <w:name w:val="MoE: Heading 2"/>
    <w:basedOn w:val="Heading2"/>
    <w:next w:val="MoEBodyText"/>
    <w:link w:val="MoEHeading2Char"/>
    <w:qFormat/>
    <w:rsid w:val="00597A0A"/>
    <w:pPr>
      <w:spacing w:before="200" w:after="120" w:line="240" w:lineRule="auto"/>
    </w:pPr>
    <w:rPr>
      <w:rFonts w:ascii="Arial" w:hAnsi="Arial"/>
      <w:b/>
      <w:color w:val="3F92CF"/>
      <w:sz w:val="24"/>
      <w:szCs w:val="24"/>
    </w:rPr>
  </w:style>
  <w:style w:type="character" w:customStyle="1" w:styleId="MoEHeading1Char">
    <w:name w:val="MoE: Heading 1 Char"/>
    <w:basedOn w:val="DefaultParagraphFont"/>
    <w:link w:val="MoEHeading1"/>
    <w:rsid w:val="00597A0A"/>
    <w:rPr>
      <w:rFonts w:ascii="Arial" w:eastAsiaTheme="majorEastAsia" w:hAnsi="Arial" w:cs="Arial"/>
      <w:b/>
      <w:color w:val="3F92CF"/>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597A0A"/>
    <w:rPr>
      <w:rFonts w:ascii="Arial" w:eastAsiaTheme="majorEastAsia" w:hAnsi="Arial" w:cstheme="majorBidi"/>
      <w:b/>
      <w:color w:val="3F92CF"/>
      <w:sz w:val="24"/>
      <w:szCs w:val="24"/>
    </w:rPr>
  </w:style>
  <w:style w:type="paragraph" w:customStyle="1" w:styleId="MoEHeading3">
    <w:name w:val="MoE: Heading 3"/>
    <w:basedOn w:val="Heading3"/>
    <w:next w:val="MoEBodyText"/>
    <w:link w:val="MoEHeading3Char"/>
    <w:qFormat/>
    <w:rsid w:val="00597A0A"/>
    <w:pPr>
      <w:spacing w:before="200" w:after="120" w:line="240" w:lineRule="atLeast"/>
    </w:pPr>
    <w:rPr>
      <w:rFonts w:ascii="Arial" w:hAnsi="Arial"/>
      <w:b/>
      <w:color w:val="3F92CF"/>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FE5D66"/>
    <w:rPr>
      <w:rFonts w:asciiTheme="majorHAnsi" w:eastAsiaTheme="majorEastAsia" w:hAnsiTheme="majorHAnsi" w:cstheme="majorBidi"/>
      <w:color w:val="1B3A79" w:themeColor="accent1" w:themeShade="BF"/>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597A0A"/>
    <w:rPr>
      <w:rFonts w:ascii="Arial" w:eastAsiaTheme="majorEastAsia" w:hAnsi="Arial" w:cstheme="majorBidi"/>
      <w:b/>
      <w:color w:val="3F92CF"/>
      <w:sz w:val="20"/>
      <w:szCs w:val="24"/>
    </w:rPr>
  </w:style>
  <w:style w:type="paragraph" w:styleId="Header">
    <w:name w:val="header"/>
    <w:basedOn w:val="Normal"/>
    <w:link w:val="HeaderChar"/>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597A0A"/>
    <w:pPr>
      <w:tabs>
        <w:tab w:val="clear" w:pos="4513"/>
        <w:tab w:val="clear" w:pos="9026"/>
        <w:tab w:val="left" w:pos="1730"/>
        <w:tab w:val="left" w:pos="4000"/>
      </w:tabs>
      <w:ind w:right="360"/>
    </w:pPr>
    <w:rPr>
      <w:rFonts w:ascii="Arial" w:hAnsi="Arial" w:cs="Arial"/>
      <w:b/>
      <w:noProof/>
      <w:color w:val="3F92CF"/>
      <w:sz w:val="18"/>
      <w:szCs w:val="18"/>
      <w:lang w:eastAsia="en-NZ"/>
    </w:rPr>
  </w:style>
  <w:style w:type="paragraph" w:customStyle="1" w:styleId="MoEFooter">
    <w:name w:val="MoE: Footer"/>
    <w:basedOn w:val="Footer"/>
    <w:link w:val="MoEFooterChar"/>
    <w:qFormat/>
    <w:rsid w:val="00597A0A"/>
    <w:pPr>
      <w:tabs>
        <w:tab w:val="clear" w:pos="4513"/>
        <w:tab w:val="clear" w:pos="9026"/>
        <w:tab w:val="left" w:pos="1730"/>
        <w:tab w:val="left" w:pos="4000"/>
      </w:tabs>
      <w:ind w:right="360"/>
    </w:pPr>
    <w:rPr>
      <w:rFonts w:ascii="Arial" w:hAnsi="Arial" w:cs="Arial"/>
      <w:color w:val="3F92CF"/>
      <w:sz w:val="18"/>
      <w:szCs w:val="18"/>
    </w:rPr>
  </w:style>
  <w:style w:type="character" w:customStyle="1" w:styleId="MoEFooterBoldChar">
    <w:name w:val="MoE: Footer (Bold) Char"/>
    <w:basedOn w:val="FooterChar"/>
    <w:link w:val="MoEFooterBold"/>
    <w:rsid w:val="00597A0A"/>
    <w:rPr>
      <w:rFonts w:ascii="Arial" w:hAnsi="Arial" w:cs="Arial"/>
      <w:b/>
      <w:noProof/>
      <w:color w:val="3F92CF"/>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597A0A"/>
    <w:rPr>
      <w:rFonts w:ascii="Arial" w:hAnsi="Arial" w:cs="Arial"/>
      <w:color w:val="3F92CF"/>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597A0A"/>
    <w:pPr>
      <w:spacing w:after="120"/>
      <w:ind w:left="284"/>
    </w:pPr>
    <w:rPr>
      <w:b/>
      <w:color w:val="3F92CF"/>
      <w:sz w:val="28"/>
      <w:szCs w:val="28"/>
    </w:rPr>
  </w:style>
  <w:style w:type="paragraph" w:customStyle="1" w:styleId="MoEQuote">
    <w:name w:val="MoE: Quote"/>
    <w:basedOn w:val="MoEQuoteBold"/>
    <w:next w:val="MoEBodyText"/>
    <w:link w:val="MoEQuoteChar"/>
    <w:qFormat/>
    <w:rsid w:val="00597A0A"/>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597A0A"/>
    <w:rPr>
      <w:rFonts w:ascii="Arial" w:eastAsiaTheme="majorEastAsia" w:hAnsi="Arial" w:cstheme="majorBidi"/>
      <w:b/>
      <w:color w:val="3F92CF"/>
      <w:sz w:val="28"/>
      <w:szCs w:val="28"/>
    </w:rPr>
  </w:style>
  <w:style w:type="character" w:customStyle="1" w:styleId="MoEQuoteChar">
    <w:name w:val="MoE: Quote Char"/>
    <w:basedOn w:val="MoEQuoteBoldChar"/>
    <w:link w:val="MoEQuote"/>
    <w:rsid w:val="00597A0A"/>
    <w:rPr>
      <w:rFonts w:ascii="Arial" w:eastAsiaTheme="majorEastAsia" w:hAnsi="Arial" w:cstheme="majorBidi"/>
      <w:b w:val="0"/>
      <w:color w:val="3F92CF"/>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597A0A"/>
    <w:pPr>
      <w:pBdr>
        <w:bottom w:val="single" w:sz="2" w:space="6" w:color="3F92CF"/>
      </w:pBdr>
      <w:spacing w:before="240" w:after="120"/>
    </w:pPr>
    <w:rPr>
      <w:b/>
      <w:color w:val="3F92CF"/>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597A0A"/>
    <w:pPr>
      <w:keepLines/>
      <w:suppressAutoHyphens/>
      <w:spacing w:before="120" w:after="120"/>
      <w:ind w:left="113"/>
    </w:pPr>
    <w:rPr>
      <w:b/>
      <w:color w:val="3F92CF"/>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597A0A"/>
    <w:rPr>
      <w:rFonts w:ascii="Arial" w:eastAsiaTheme="majorEastAsia" w:hAnsi="Arial" w:cstheme="majorBidi"/>
      <w:b/>
      <w:color w:val="3F92CF"/>
      <w:sz w:val="44"/>
      <w:szCs w:val="44"/>
    </w:rPr>
  </w:style>
  <w:style w:type="paragraph" w:customStyle="1" w:styleId="MoETableBoldandRed">
    <w:name w:val="MoE: Table (Bold and Red)"/>
    <w:basedOn w:val="MoETableBoldText"/>
    <w:link w:val="MoETableBoldandRedChar"/>
    <w:qFormat/>
    <w:rsid w:val="00597A0A"/>
    <w:rPr>
      <w:color w:val="3F92CF"/>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597A0A"/>
    <w:pPr>
      <w:spacing w:before="0" w:after="840" w:line="240" w:lineRule="atLeast"/>
      <w:outlineLvl w:val="9"/>
    </w:pPr>
    <w:rPr>
      <w:rFonts w:ascii="Arial" w:hAnsi="Arial"/>
      <w:b/>
      <w:color w:val="3F92CF"/>
      <w:sz w:val="44"/>
      <w:lang w:val="en-US"/>
    </w:rPr>
  </w:style>
  <w:style w:type="character" w:customStyle="1" w:styleId="MoETableBoldandRedChar">
    <w:name w:val="MoE: Table (Bold and Red) Char"/>
    <w:basedOn w:val="MoETableBoldTextChar"/>
    <w:link w:val="MoETableBoldandRed"/>
    <w:rsid w:val="00597A0A"/>
    <w:rPr>
      <w:rFonts w:ascii="Arial" w:eastAsiaTheme="majorEastAsia" w:hAnsi="Arial" w:cstheme="majorBidi"/>
      <w:b/>
      <w:color w:val="3F92CF"/>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rsid w:val="00DA30FC"/>
    <w:rPr>
      <w:color w:val="9454C3" w:themeColor="hyperlink"/>
      <w:u w:val="single"/>
    </w:rPr>
  </w:style>
  <w:style w:type="character" w:customStyle="1" w:styleId="MoEImageCaptionChar">
    <w:name w:val="MoE: Image Caption Char"/>
    <w:basedOn w:val="MoEBodyTextChar"/>
    <w:link w:val="MoEImageCaption"/>
    <w:rsid w:val="00597A0A"/>
    <w:rPr>
      <w:rFonts w:ascii="Arial" w:eastAsiaTheme="majorEastAsia" w:hAnsi="Arial" w:cstheme="majorBidi"/>
      <w:b/>
      <w:color w:val="3F92CF"/>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E756D6"/>
    <w:pPr>
      <w:spacing w:before="0" w:after="840" w:line="240" w:lineRule="auto"/>
    </w:pPr>
    <w:rPr>
      <w:rFonts w:ascii="Arial" w:hAnsi="Arial"/>
      <w:b/>
      <w:bCs/>
      <w:color w:val="3472AC"/>
      <w:sz w:val="44"/>
    </w:rPr>
  </w:style>
  <w:style w:type="paragraph" w:customStyle="1" w:styleId="BlueSubheading3">
    <w:name w:val="Blue Subheading 3"/>
    <w:basedOn w:val="Heading3"/>
    <w:qFormat/>
    <w:rsid w:val="00E756D6"/>
    <w:pPr>
      <w:spacing w:before="200" w:after="120" w:line="240" w:lineRule="atLeast"/>
    </w:pPr>
    <w:rPr>
      <w:rFonts w:ascii="Arial" w:hAnsi="Arial"/>
      <w:b/>
      <w:bCs/>
      <w:color w:val="3472AC"/>
      <w:sz w:val="20"/>
      <w:szCs w:val="22"/>
    </w:rPr>
  </w:style>
  <w:style w:type="paragraph" w:customStyle="1" w:styleId="BlueHeading1Non-Contents">
    <w:name w:val="Blue Heading 1 Non-Contents"/>
    <w:basedOn w:val="BlueHeading1"/>
    <w:qFormat/>
    <w:rsid w:val="00E756D6"/>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FollowedHyperlink">
    <w:name w:val="FollowedHyperlink"/>
    <w:basedOn w:val="DefaultParagraphFont"/>
    <w:uiPriority w:val="99"/>
    <w:semiHidden/>
    <w:rsid w:val="004D450D"/>
    <w:rPr>
      <w:color w:val="3EBBF0" w:themeColor="followedHyperlink"/>
      <w:u w:val="single"/>
    </w:rPr>
  </w:style>
  <w:style w:type="paragraph" w:customStyle="1" w:styleId="Text">
    <w:name w:val="Text"/>
    <w:basedOn w:val="Normal"/>
    <w:link w:val="TextChar"/>
    <w:rsid w:val="00ED1CCE"/>
    <w:pPr>
      <w:widowControl w:val="0"/>
      <w:adjustRightInd w:val="0"/>
      <w:spacing w:after="120" w:line="250" w:lineRule="atLeast"/>
      <w:jc w:val="both"/>
      <w:textAlignment w:val="baseline"/>
    </w:pPr>
    <w:rPr>
      <w:rFonts w:ascii="Arial" w:eastAsia="Times New Roman" w:hAnsi="Arial" w:cs="Times New Roman"/>
      <w:sz w:val="20"/>
      <w:szCs w:val="24"/>
      <w:lang w:val="en-GB"/>
    </w:rPr>
  </w:style>
  <w:style w:type="character" w:customStyle="1" w:styleId="TextChar">
    <w:name w:val="Text Char"/>
    <w:basedOn w:val="DefaultParagraphFont"/>
    <w:link w:val="Text"/>
    <w:rsid w:val="00ED1CCE"/>
    <w:rPr>
      <w:rFonts w:ascii="Arial" w:eastAsia="Times New Roman" w:hAnsi="Arial" w:cs="Times New Roman"/>
      <w:sz w:val="20"/>
      <w:szCs w:val="24"/>
      <w:lang w:val="en-GB"/>
    </w:rPr>
  </w:style>
  <w:style w:type="paragraph" w:customStyle="1" w:styleId="Bullet">
    <w:name w:val="Bullet"/>
    <w:basedOn w:val="Normal"/>
    <w:link w:val="BulletChar"/>
    <w:rsid w:val="00ED1CCE"/>
    <w:pPr>
      <w:widowControl w:val="0"/>
      <w:numPr>
        <w:numId w:val="19"/>
      </w:numPr>
      <w:adjustRightInd w:val="0"/>
      <w:spacing w:after="120" w:line="250" w:lineRule="atLeast"/>
      <w:jc w:val="both"/>
      <w:textAlignment w:val="baseline"/>
    </w:pPr>
    <w:rPr>
      <w:rFonts w:ascii="Arial" w:eastAsia="Times New Roman" w:hAnsi="Arial" w:cs="Times New Roman"/>
      <w:sz w:val="20"/>
      <w:szCs w:val="24"/>
      <w:lang w:val="en-GB"/>
    </w:rPr>
  </w:style>
  <w:style w:type="character" w:styleId="PageNumber">
    <w:name w:val="page number"/>
    <w:basedOn w:val="DefaultParagraphFont"/>
    <w:rsid w:val="00ED1CCE"/>
  </w:style>
  <w:style w:type="paragraph" w:customStyle="1" w:styleId="Textsecondsubheading">
    <w:name w:val="Text second sub heading"/>
    <w:basedOn w:val="Normal"/>
    <w:next w:val="Text"/>
    <w:link w:val="TextsecondsubheadingChar"/>
    <w:rsid w:val="00ED1CCE"/>
    <w:pPr>
      <w:keepNext/>
      <w:widowControl w:val="0"/>
      <w:adjustRightInd w:val="0"/>
      <w:spacing w:before="240" w:after="100" w:line="240" w:lineRule="auto"/>
      <w:jc w:val="both"/>
      <w:textAlignment w:val="baseline"/>
    </w:pPr>
    <w:rPr>
      <w:rFonts w:ascii="Arial" w:eastAsia="Times New Roman" w:hAnsi="Arial" w:cs="Times New Roman"/>
      <w:b/>
      <w:i/>
      <w:szCs w:val="24"/>
      <w:lang w:val="en-GB"/>
    </w:rPr>
  </w:style>
  <w:style w:type="character" w:customStyle="1" w:styleId="TextsecondsubheadingChar">
    <w:name w:val="Text second sub heading Char"/>
    <w:basedOn w:val="DefaultParagraphFont"/>
    <w:link w:val="Textsecondsubheading"/>
    <w:rsid w:val="00E366A9"/>
    <w:rPr>
      <w:rFonts w:ascii="Arial" w:eastAsia="Times New Roman" w:hAnsi="Arial" w:cs="Times New Roman"/>
      <w:b/>
      <w:i/>
      <w:szCs w:val="24"/>
      <w:lang w:val="en-GB"/>
    </w:rPr>
  </w:style>
  <w:style w:type="paragraph" w:customStyle="1" w:styleId="Numbering">
    <w:name w:val="Numbering"/>
    <w:basedOn w:val="Normal"/>
    <w:rsid w:val="00E366A9"/>
    <w:pPr>
      <w:numPr>
        <w:numId w:val="20"/>
      </w:numPr>
      <w:spacing w:after="120" w:line="250" w:lineRule="atLeast"/>
    </w:pPr>
    <w:rPr>
      <w:rFonts w:ascii="Arial" w:eastAsia="Times New Roman" w:hAnsi="Arial" w:cs="Times New Roman"/>
      <w:sz w:val="20"/>
      <w:szCs w:val="24"/>
      <w:lang w:val="en-GB"/>
    </w:rPr>
  </w:style>
  <w:style w:type="paragraph" w:styleId="CommentText">
    <w:name w:val="annotation text"/>
    <w:basedOn w:val="Normal"/>
    <w:link w:val="CommentTextChar"/>
    <w:semiHidden/>
    <w:rsid w:val="00E366A9"/>
    <w:pPr>
      <w:spacing w:after="120" w:line="250" w:lineRule="exact"/>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E366A9"/>
    <w:rPr>
      <w:rFonts w:ascii="Arial" w:eastAsia="Times New Roman" w:hAnsi="Arial" w:cs="Times New Roman"/>
      <w:sz w:val="20"/>
      <w:szCs w:val="20"/>
      <w:lang w:val="en-GB"/>
    </w:rPr>
  </w:style>
  <w:style w:type="paragraph" w:customStyle="1" w:styleId="Textsubheading">
    <w:name w:val="Text sub heading"/>
    <w:basedOn w:val="Normal"/>
    <w:next w:val="Text"/>
    <w:rsid w:val="00A10BDD"/>
    <w:pPr>
      <w:keepNext/>
      <w:spacing w:before="240" w:after="100" w:line="240" w:lineRule="auto"/>
    </w:pPr>
    <w:rPr>
      <w:rFonts w:ascii="Arial" w:eastAsia="Times New Roman" w:hAnsi="Arial" w:cs="Times New Roman"/>
      <w:b/>
      <w:sz w:val="24"/>
      <w:szCs w:val="24"/>
      <w:lang w:val="en-GB"/>
    </w:rPr>
  </w:style>
  <w:style w:type="character" w:customStyle="1" w:styleId="BulletChar">
    <w:name w:val="Bullet Char"/>
    <w:basedOn w:val="DefaultParagraphFont"/>
    <w:link w:val="Bullet"/>
    <w:rsid w:val="00A10BDD"/>
    <w:rPr>
      <w:rFonts w:ascii="Arial" w:eastAsia="Times New Roman" w:hAnsi="Arial" w:cs="Times New Roman"/>
      <w:sz w:val="20"/>
      <w:szCs w:val="24"/>
      <w:lang w:val="en-GB"/>
    </w:rPr>
  </w:style>
  <w:style w:type="paragraph" w:customStyle="1" w:styleId="Textheading">
    <w:name w:val="Text heading"/>
    <w:basedOn w:val="Normal"/>
    <w:next w:val="Text"/>
    <w:rsid w:val="000644E3"/>
    <w:pPr>
      <w:keepNext/>
      <w:spacing w:before="240" w:after="100" w:line="240" w:lineRule="auto"/>
    </w:pPr>
    <w:rPr>
      <w:rFonts w:ascii="Arial" w:eastAsia="Times New Roman" w:hAnsi="Arial" w:cs="Times New Roman"/>
      <w:b/>
      <w:sz w:val="28"/>
      <w:szCs w:val="24"/>
      <w:lang w:val="en-GB"/>
    </w:rPr>
  </w:style>
  <w:style w:type="paragraph" w:customStyle="1" w:styleId="Default">
    <w:name w:val="Default"/>
    <w:rsid w:val="000644E3"/>
    <w:pPr>
      <w:widowControl w:val="0"/>
      <w:autoSpaceDE w:val="0"/>
      <w:autoSpaceDN w:val="0"/>
      <w:adjustRightInd w:val="0"/>
      <w:spacing w:after="0" w:line="240" w:lineRule="auto"/>
    </w:pPr>
    <w:rPr>
      <w:rFonts w:ascii="Times" w:eastAsia="Times New Roman" w:hAnsi="Times" w:cs="Times"/>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zqa.govt.nz/providers-partners/assessment-and-moderation/managing-national-assessment-in-schools/special-assessment-conditions-guidelines/timelin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zqa.govt.nz/providers-partners/assessment-and-moderation/managing-national-assessment-in-schools/special-assessment-conditions-guidelines/preparing-an-applic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zqa.govt.nz/about-us/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t.nz/school/student-support/special-education/special-assessment-conditions/" TargetMode="External"/><Relationship Id="rId5" Type="http://schemas.openxmlformats.org/officeDocument/2006/relationships/webSettings" Target="webSettings.xml"/><Relationship Id="rId15" Type="http://schemas.openxmlformats.org/officeDocument/2006/relationships/hyperlink" Target="http://www.minedu.govt.nz/~/media/MinEdu/Files/EducationSectors/SpecialEducation/SpecialAssessmentConditions2014Tipsforpreparinganalternativeevidenceapplication.pdf"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zqa.govt.nz/providers-partners/assessment-and-moderation/managing-national-assessment-in-schools/special-assessment-conditions-guidelines/documentation-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81F0-C0D3-4AF1-9202-328B6A49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Info Sheet: Special Assessment Conditions</dc:title>
  <dc:subject/>
  <dc:creator/>
  <cp:keywords/>
  <dc:description/>
  <cp:lastModifiedBy/>
  <cp:revision>1</cp:revision>
  <dcterms:created xsi:type="dcterms:W3CDTF">2019-01-24T23:49:00Z</dcterms:created>
  <dcterms:modified xsi:type="dcterms:W3CDTF">2019-01-24T23:51:00Z</dcterms:modified>
</cp:coreProperties>
</file>