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drawings/drawing16.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charts/chart7.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drawings/drawing12.xml" ContentType="application/vnd.openxmlformats-officedocument.drawingml.chartshapes+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drawings/drawing9.xml" ContentType="application/vnd.openxmlformats-officedocument.drawingml.chartshapes+xml"/>
  <Override PartName="/word/drawings/drawing7.xml" ContentType="application/vnd.openxmlformats-officedocument.drawingml.chartshapes+xml"/>
  <Override PartName="/word/drawings/drawing19.xml" ContentType="application/vnd.openxmlformats-officedocument.drawingml.chartshapes+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drawings/drawing17.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n-NZ"/>
        </w:rPr>
        <w:id w:val="2080625881"/>
        <w:docPartObj>
          <w:docPartGallery w:val="Cover Pages"/>
          <w:docPartUnique/>
        </w:docPartObj>
      </w:sdtPr>
      <w:sdtEndPr>
        <w:rPr>
          <w:sz w:val="6"/>
          <w:szCs w:val="6"/>
        </w:rPr>
      </w:sdtEndPr>
      <w:sdtContent>
        <w:bookmarkStart w:id="0" w:name="_GoBack" w:displacedByCustomXml="prev"/>
        <w:bookmarkEnd w:id="0" w:displacedByCustomXml="prev"/>
        <w:tbl>
          <w:tblPr>
            <w:tblStyle w:val="TableGrid"/>
            <w:tblW w:w="10546" w:type="dxa"/>
            <w:tblLayout w:type="fixed"/>
            <w:tblLook w:val="04A0"/>
          </w:tblPr>
          <w:tblGrid>
            <w:gridCol w:w="10546"/>
          </w:tblGrid>
          <w:tr w:rsidR="00061444" w:rsidRPr="00DB433A" w:rsidTr="003C4BE4">
            <w:trPr>
              <w:cnfStyle w:val="100000000000"/>
              <w:trHeight w:hRule="exact" w:val="10773"/>
            </w:trPr>
            <w:tc>
              <w:tcPr>
                <w:tcW w:w="10546" w:type="dxa"/>
                <w:vAlign w:val="center"/>
              </w:tcPr>
              <w:p w:rsidR="00061444" w:rsidRPr="00DB433A" w:rsidRDefault="000C1A68" w:rsidP="000C1A68">
                <w:pPr>
                  <w:jc w:val="center"/>
                  <w:rPr>
                    <w:lang w:val="en-NZ"/>
                  </w:rPr>
                </w:pPr>
                <w:r w:rsidRPr="00DB433A">
                  <w:rPr>
                    <w:noProof/>
                    <w:lang w:val="en-NZ" w:eastAsia="en-NZ"/>
                  </w:rPr>
                  <w:drawing>
                    <wp:inline distT="0" distB="0" distL="0" distR="0">
                      <wp:extent cx="6694170" cy="6685280"/>
                      <wp:effectExtent l="0" t="0" r="0" b="1270"/>
                      <wp:docPr id="1" name="Picture 1" descr="K:\FILES\Clients\M\Ministry of Education\Corporate Finance\2016 Education Funding System Review\2. Report\134706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ILES\Clients\M\Ministry of Education\Corporate Finance\2016 Education Funding System Review\2. Report\134706473.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4170" cy="6685280"/>
                              </a:xfrm>
                              <a:prstGeom prst="rect">
                                <a:avLst/>
                              </a:prstGeom>
                              <a:noFill/>
                              <a:ln>
                                <a:noFill/>
                              </a:ln>
                            </pic:spPr>
                          </pic:pic>
                        </a:graphicData>
                      </a:graphic>
                    </wp:inline>
                  </w:drawing>
                </w:r>
              </w:p>
            </w:tc>
          </w:tr>
        </w:tbl>
        <w:p w:rsidR="00061444" w:rsidRPr="00DB433A" w:rsidRDefault="00061444" w:rsidP="003C4BE4">
          <w:pPr>
            <w:spacing w:after="0" w:line="240" w:lineRule="auto"/>
            <w:rPr>
              <w:lang w:val="en-NZ"/>
            </w:rPr>
          </w:pPr>
          <w:r w:rsidRPr="00DB433A">
            <w:rPr>
              <w:noProof/>
              <w:lang w:val="en-NZ" w:eastAsia="en-NZ"/>
            </w:rPr>
            <w:drawing>
              <wp:anchor distT="0" distB="0" distL="114300" distR="114300" simplePos="0" relativeHeight="251667456" behindDoc="0" locked="1" layoutInCell="1" allowOverlap="1">
                <wp:simplePos x="0" y="0"/>
                <wp:positionH relativeFrom="page">
                  <wp:posOffset>431800</wp:posOffset>
                </wp:positionH>
                <wp:positionV relativeFrom="page">
                  <wp:posOffset>431800</wp:posOffset>
                </wp:positionV>
                <wp:extent cx="1832400" cy="345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2400" cy="345600"/>
                        </a:xfrm>
                        <a:prstGeom prst="rect">
                          <a:avLst/>
                        </a:prstGeom>
                      </pic:spPr>
                    </pic:pic>
                  </a:graphicData>
                </a:graphic>
              </wp:anchor>
            </w:drawing>
          </w:r>
          <w:r w:rsidR="00B815EF">
            <w:rPr>
              <w:noProof/>
              <w:lang w:val="en-NZ" w:eastAsia="en-NZ"/>
            </w:rPr>
            <w:pict>
              <v:rect id="Rectangle 8" o:spid="_x0000_s1027" style="position:absolute;margin-left:0;margin-top:0;width:598.1pt;height:844.7pt;z-index:-2516500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" fillcolor="white [3212]" stroked="f" strokeweight="2pt">
                <w10:wrap anchorx="page" anchory="page"/>
                <w10:anchorlock/>
              </v:rect>
            </w:pict>
          </w:r>
        </w:p>
        <w:tbl>
          <w:tblPr>
            <w:tblStyle w:val="TableGrid"/>
            <w:tblW w:w="0" w:type="auto"/>
            <w:tblLayout w:type="fixed"/>
            <w:tblLook w:val="04A0"/>
          </w:tblPr>
          <w:tblGrid>
            <w:gridCol w:w="6945"/>
          </w:tblGrid>
          <w:tr w:rsidR="00061444" w:rsidRPr="00DB433A" w:rsidTr="003C4BE4">
            <w:trPr>
              <w:cnfStyle w:val="100000000000"/>
              <w:trHeight w:hRule="exact" w:val="2835"/>
            </w:trPr>
            <w:tc>
              <w:tcPr>
                <w:tcW w:w="6945" w:type="dxa"/>
                <w:vAlign w:val="bottom"/>
              </w:tcPr>
              <w:p w:rsidR="00061444" w:rsidRPr="00DB433A" w:rsidRDefault="004C4281" w:rsidP="003C4BE4">
                <w:pPr>
                  <w:pStyle w:val="Documenttitle"/>
                  <w:rPr>
                    <w:lang w:val="en-NZ"/>
                  </w:rPr>
                </w:pPr>
                <w:r w:rsidRPr="00DB433A">
                  <w:rPr>
                    <w:lang w:val="en-NZ"/>
                  </w:rPr>
                  <w:t>School Expenditure and Revenue</w:t>
                </w:r>
              </w:p>
              <w:p w:rsidR="00061444" w:rsidRDefault="00B2537D" w:rsidP="003C4BE4">
                <w:pPr>
                  <w:pStyle w:val="Documentsubtitle"/>
                  <w:rPr>
                    <w:lang w:val="en-NZ"/>
                  </w:rPr>
                </w:pPr>
                <w:r w:rsidRPr="00DB433A">
                  <w:rPr>
                    <w:lang w:val="en-NZ"/>
                  </w:rPr>
                  <w:t>Report to the Ministry of Education</w:t>
                </w:r>
              </w:p>
              <w:p w:rsidR="002F2C5F" w:rsidRPr="002F2C5F" w:rsidRDefault="002F2C5F" w:rsidP="003C4BE4">
                <w:pPr>
                  <w:pStyle w:val="Documentsubtitle"/>
                  <w:rPr>
                    <w:sz w:val="28"/>
                    <w:szCs w:val="28"/>
                    <w:lang w:val="en-NZ"/>
                  </w:rPr>
                </w:pPr>
                <w:r w:rsidRPr="002F2C5F">
                  <w:rPr>
                    <w:sz w:val="28"/>
                    <w:szCs w:val="28"/>
                    <w:lang w:val="en-NZ"/>
                  </w:rPr>
                  <w:t>Draft:</w:t>
                </w:r>
              </w:p>
              <w:p w:rsidR="00061444" w:rsidRPr="00DB433A" w:rsidRDefault="007778BB" w:rsidP="00F40CDB">
                <w:pPr>
                  <w:pStyle w:val="Documentdate"/>
                  <w:rPr>
                    <w:lang w:val="en-NZ"/>
                  </w:rPr>
                </w:pPr>
                <w:r>
                  <w:rPr>
                    <w:lang w:val="en-NZ"/>
                  </w:rPr>
                  <w:t>7</w:t>
                </w:r>
                <w:r w:rsidR="00FD4E62">
                  <w:rPr>
                    <w:lang w:val="en-NZ"/>
                  </w:rPr>
                  <w:t xml:space="preserve"> October</w:t>
                </w:r>
                <w:r w:rsidR="00B2537D" w:rsidRPr="00DB433A">
                  <w:rPr>
                    <w:lang w:val="en-NZ"/>
                  </w:rPr>
                  <w:t xml:space="preserve"> 2016</w:t>
                </w:r>
              </w:p>
            </w:tc>
          </w:tr>
        </w:tbl>
        <w:p w:rsidR="00061444" w:rsidRPr="00DB433A" w:rsidRDefault="00061444">
          <w:pPr>
            <w:spacing w:after="200" w:line="276" w:lineRule="auto"/>
            <w:rPr>
              <w:sz w:val="6"/>
              <w:szCs w:val="6"/>
              <w:lang w:val="en-NZ"/>
            </w:rPr>
          </w:pPr>
          <w:r w:rsidRPr="00DB433A">
            <w:rPr>
              <w:sz w:val="6"/>
              <w:szCs w:val="6"/>
              <w:lang w:val="en-NZ"/>
            </w:rPr>
            <w:br w:type="page"/>
          </w:r>
        </w:p>
      </w:sdtContent>
    </w:sdt>
    <w:p w:rsidR="006528C9" w:rsidRPr="00DB433A" w:rsidRDefault="006528C9" w:rsidP="003C4BE4">
      <w:pPr>
        <w:spacing w:after="0" w:line="240" w:lineRule="auto"/>
        <w:rPr>
          <w:sz w:val="6"/>
          <w:szCs w:val="6"/>
          <w:lang w:val="en-NZ"/>
        </w:rPr>
      </w:pPr>
    </w:p>
    <w:p w:rsidR="00212852" w:rsidRPr="00DB433A" w:rsidRDefault="00A901B0" w:rsidP="00B20E03">
      <w:pPr>
        <w:pStyle w:val="Sectiontitle"/>
        <w:rPr>
          <w:lang w:val="en-NZ"/>
        </w:rPr>
      </w:pPr>
      <w:bookmarkStart w:id="1" w:name="_Toc463604443"/>
      <w:r w:rsidRPr="00DB433A">
        <w:rPr>
          <w:lang w:val="en-NZ"/>
        </w:rPr>
        <w:t>Contents</w:t>
      </w:r>
      <w:bookmarkEnd w:id="1"/>
    </w:p>
    <w:p w:rsidR="00212852" w:rsidRPr="00DB433A" w:rsidRDefault="00212852" w:rsidP="00212852">
      <w:pPr>
        <w:rPr>
          <w:lang w:val="en-NZ"/>
        </w:rPr>
      </w:pPr>
    </w:p>
    <w:p w:rsidR="00573904" w:rsidRDefault="00B815EF">
      <w:pPr>
        <w:pStyle w:val="TOC1"/>
        <w:rPr>
          <w:rFonts w:eastAsiaTheme="minorEastAsia"/>
          <w:noProof/>
          <w:sz w:val="22"/>
          <w:lang w:val="en-NZ" w:eastAsia="en-NZ"/>
        </w:rPr>
      </w:pPr>
      <w:r w:rsidRPr="00DB433A">
        <w:rPr>
          <w:lang w:val="en-NZ"/>
        </w:rPr>
        <w:fldChar w:fldCharType="begin"/>
      </w:r>
      <w:r w:rsidR="00C142FE" w:rsidRPr="00DB433A">
        <w:rPr>
          <w:lang w:val="en-NZ"/>
        </w:rPr>
        <w:instrText xml:space="preserve"> TOC \h \z \t "Section title,1,Section title - numbered,1" </w:instrText>
      </w:r>
      <w:r w:rsidRPr="00DB433A">
        <w:rPr>
          <w:lang w:val="en-NZ"/>
        </w:rPr>
        <w:fldChar w:fldCharType="separate"/>
      </w:r>
      <w:hyperlink w:anchor="_Toc463604443" w:history="1">
        <w:r w:rsidR="00573904" w:rsidRPr="00020447">
          <w:rPr>
            <w:rStyle w:val="Hyperlink"/>
            <w:noProof/>
            <w:lang w:val="en-NZ"/>
          </w:rPr>
          <w:t>Contents</w:t>
        </w:r>
        <w:r w:rsidR="00573904">
          <w:rPr>
            <w:noProof/>
            <w:webHidden/>
          </w:rPr>
          <w:tab/>
        </w:r>
        <w:r>
          <w:rPr>
            <w:noProof/>
            <w:webHidden/>
          </w:rPr>
          <w:fldChar w:fldCharType="begin"/>
        </w:r>
        <w:r w:rsidR="00573904">
          <w:rPr>
            <w:noProof/>
            <w:webHidden/>
          </w:rPr>
          <w:instrText xml:space="preserve"> PAGEREF _Toc463604443 \h </w:instrText>
        </w:r>
        <w:r>
          <w:rPr>
            <w:noProof/>
            <w:webHidden/>
          </w:rPr>
        </w:r>
        <w:r>
          <w:rPr>
            <w:noProof/>
            <w:webHidden/>
          </w:rPr>
          <w:fldChar w:fldCharType="separate"/>
        </w:r>
        <w:r w:rsidR="00573904">
          <w:rPr>
            <w:noProof/>
            <w:webHidden/>
          </w:rPr>
          <w:t>1</w:t>
        </w:r>
        <w:r>
          <w:rPr>
            <w:noProof/>
            <w:webHidden/>
          </w:rPr>
          <w:fldChar w:fldCharType="end"/>
        </w:r>
      </w:hyperlink>
    </w:p>
    <w:p w:rsidR="00573904" w:rsidRDefault="00B815EF">
      <w:pPr>
        <w:pStyle w:val="TOC1"/>
        <w:rPr>
          <w:rFonts w:eastAsiaTheme="minorEastAsia"/>
          <w:noProof/>
          <w:sz w:val="22"/>
          <w:lang w:val="en-NZ" w:eastAsia="en-NZ"/>
        </w:rPr>
      </w:pPr>
      <w:hyperlink w:anchor="_Toc463604444" w:history="1">
        <w:r w:rsidR="00573904" w:rsidRPr="00020447">
          <w:rPr>
            <w:rStyle w:val="Hyperlink"/>
            <w:noProof/>
            <w:lang w:val="en-NZ"/>
          </w:rPr>
          <w:t>Introduction and summary</w:t>
        </w:r>
        <w:r w:rsidR="00573904">
          <w:rPr>
            <w:noProof/>
            <w:webHidden/>
          </w:rPr>
          <w:tab/>
        </w:r>
        <w:r>
          <w:rPr>
            <w:noProof/>
            <w:webHidden/>
          </w:rPr>
          <w:fldChar w:fldCharType="begin"/>
        </w:r>
        <w:r w:rsidR="00573904">
          <w:rPr>
            <w:noProof/>
            <w:webHidden/>
          </w:rPr>
          <w:instrText xml:space="preserve"> PAGEREF _Toc463604444 \h </w:instrText>
        </w:r>
        <w:r>
          <w:rPr>
            <w:noProof/>
            <w:webHidden/>
          </w:rPr>
        </w:r>
        <w:r>
          <w:rPr>
            <w:noProof/>
            <w:webHidden/>
          </w:rPr>
          <w:fldChar w:fldCharType="separate"/>
        </w:r>
        <w:r w:rsidR="00573904">
          <w:rPr>
            <w:noProof/>
            <w:webHidden/>
          </w:rPr>
          <w:t>2</w:t>
        </w:r>
        <w:r>
          <w:rPr>
            <w:noProof/>
            <w:webHidden/>
          </w:rPr>
          <w:fldChar w:fldCharType="end"/>
        </w:r>
      </w:hyperlink>
    </w:p>
    <w:p w:rsidR="00573904" w:rsidRDefault="00B815EF">
      <w:pPr>
        <w:pStyle w:val="TOC1"/>
        <w:rPr>
          <w:rFonts w:eastAsiaTheme="minorEastAsia"/>
          <w:noProof/>
          <w:sz w:val="22"/>
          <w:lang w:val="en-NZ" w:eastAsia="en-NZ"/>
        </w:rPr>
      </w:pPr>
      <w:hyperlink w:anchor="_Toc463604445" w:history="1">
        <w:r w:rsidR="00573904" w:rsidRPr="00020447">
          <w:rPr>
            <w:rStyle w:val="Hyperlink"/>
            <w:noProof/>
            <w:lang w:val="en-NZ"/>
          </w:rPr>
          <w:t>Approach</w:t>
        </w:r>
        <w:r w:rsidR="00573904">
          <w:rPr>
            <w:noProof/>
            <w:webHidden/>
          </w:rPr>
          <w:tab/>
        </w:r>
        <w:r>
          <w:rPr>
            <w:noProof/>
            <w:webHidden/>
          </w:rPr>
          <w:fldChar w:fldCharType="begin"/>
        </w:r>
        <w:r w:rsidR="00573904">
          <w:rPr>
            <w:noProof/>
            <w:webHidden/>
          </w:rPr>
          <w:instrText xml:space="preserve"> PAGEREF _Toc463604445 \h </w:instrText>
        </w:r>
        <w:r>
          <w:rPr>
            <w:noProof/>
            <w:webHidden/>
          </w:rPr>
        </w:r>
        <w:r>
          <w:rPr>
            <w:noProof/>
            <w:webHidden/>
          </w:rPr>
          <w:fldChar w:fldCharType="separate"/>
        </w:r>
        <w:r w:rsidR="00573904">
          <w:rPr>
            <w:noProof/>
            <w:webHidden/>
          </w:rPr>
          <w:t>6</w:t>
        </w:r>
        <w:r>
          <w:rPr>
            <w:noProof/>
            <w:webHidden/>
          </w:rPr>
          <w:fldChar w:fldCharType="end"/>
        </w:r>
      </w:hyperlink>
    </w:p>
    <w:p w:rsidR="00573904" w:rsidRDefault="00B815EF">
      <w:pPr>
        <w:pStyle w:val="TOC1"/>
        <w:rPr>
          <w:rFonts w:eastAsiaTheme="minorEastAsia"/>
          <w:noProof/>
          <w:sz w:val="22"/>
          <w:lang w:val="en-NZ" w:eastAsia="en-NZ"/>
        </w:rPr>
      </w:pPr>
      <w:hyperlink w:anchor="_Toc463604446" w:history="1">
        <w:r w:rsidR="00573904" w:rsidRPr="00020447">
          <w:rPr>
            <w:rStyle w:val="Hyperlink"/>
            <w:noProof/>
            <w:lang w:val="en-NZ"/>
          </w:rPr>
          <w:t>Funding sources</w:t>
        </w:r>
        <w:r w:rsidR="00573904">
          <w:rPr>
            <w:noProof/>
            <w:webHidden/>
          </w:rPr>
          <w:tab/>
        </w:r>
        <w:r>
          <w:rPr>
            <w:noProof/>
            <w:webHidden/>
          </w:rPr>
          <w:fldChar w:fldCharType="begin"/>
        </w:r>
        <w:r w:rsidR="00573904">
          <w:rPr>
            <w:noProof/>
            <w:webHidden/>
          </w:rPr>
          <w:instrText xml:space="preserve"> PAGEREF _Toc463604446 \h </w:instrText>
        </w:r>
        <w:r>
          <w:rPr>
            <w:noProof/>
            <w:webHidden/>
          </w:rPr>
        </w:r>
        <w:r>
          <w:rPr>
            <w:noProof/>
            <w:webHidden/>
          </w:rPr>
          <w:fldChar w:fldCharType="separate"/>
        </w:r>
        <w:r w:rsidR="00573904">
          <w:rPr>
            <w:noProof/>
            <w:webHidden/>
          </w:rPr>
          <w:t>10</w:t>
        </w:r>
        <w:r>
          <w:rPr>
            <w:noProof/>
            <w:webHidden/>
          </w:rPr>
          <w:fldChar w:fldCharType="end"/>
        </w:r>
      </w:hyperlink>
    </w:p>
    <w:p w:rsidR="00573904" w:rsidRDefault="00B815EF">
      <w:pPr>
        <w:pStyle w:val="TOC1"/>
        <w:rPr>
          <w:rFonts w:eastAsiaTheme="minorEastAsia"/>
          <w:noProof/>
          <w:sz w:val="22"/>
          <w:lang w:val="en-NZ" w:eastAsia="en-NZ"/>
        </w:rPr>
      </w:pPr>
      <w:hyperlink w:anchor="_Toc463604447" w:history="1">
        <w:r w:rsidR="00573904" w:rsidRPr="00020447">
          <w:rPr>
            <w:rStyle w:val="Hyperlink"/>
            <w:noProof/>
            <w:lang w:val="en-NZ"/>
          </w:rPr>
          <w:t>Expenditure overview</w:t>
        </w:r>
        <w:r w:rsidR="00573904">
          <w:rPr>
            <w:noProof/>
            <w:webHidden/>
          </w:rPr>
          <w:tab/>
        </w:r>
        <w:r>
          <w:rPr>
            <w:noProof/>
            <w:webHidden/>
          </w:rPr>
          <w:fldChar w:fldCharType="begin"/>
        </w:r>
        <w:r w:rsidR="00573904">
          <w:rPr>
            <w:noProof/>
            <w:webHidden/>
          </w:rPr>
          <w:instrText xml:space="preserve"> PAGEREF _Toc463604447 \h </w:instrText>
        </w:r>
        <w:r>
          <w:rPr>
            <w:noProof/>
            <w:webHidden/>
          </w:rPr>
        </w:r>
        <w:r>
          <w:rPr>
            <w:noProof/>
            <w:webHidden/>
          </w:rPr>
          <w:fldChar w:fldCharType="separate"/>
        </w:r>
        <w:r w:rsidR="00573904">
          <w:rPr>
            <w:noProof/>
            <w:webHidden/>
          </w:rPr>
          <w:t>23</w:t>
        </w:r>
        <w:r>
          <w:rPr>
            <w:noProof/>
            <w:webHidden/>
          </w:rPr>
          <w:fldChar w:fldCharType="end"/>
        </w:r>
      </w:hyperlink>
    </w:p>
    <w:p w:rsidR="00573904" w:rsidRDefault="00B815EF">
      <w:pPr>
        <w:pStyle w:val="TOC1"/>
        <w:rPr>
          <w:rFonts w:eastAsiaTheme="minorEastAsia"/>
          <w:noProof/>
          <w:sz w:val="22"/>
          <w:lang w:val="en-NZ" w:eastAsia="en-NZ"/>
        </w:rPr>
      </w:pPr>
      <w:hyperlink w:anchor="_Toc463604448" w:history="1">
        <w:r w:rsidR="00573904" w:rsidRPr="00020447">
          <w:rPr>
            <w:rStyle w:val="Hyperlink"/>
            <w:noProof/>
            <w:lang w:val="en-NZ"/>
          </w:rPr>
          <w:t>Staffing</w:t>
        </w:r>
        <w:r w:rsidR="00573904">
          <w:rPr>
            <w:noProof/>
            <w:webHidden/>
          </w:rPr>
          <w:tab/>
        </w:r>
        <w:r>
          <w:rPr>
            <w:noProof/>
            <w:webHidden/>
          </w:rPr>
          <w:fldChar w:fldCharType="begin"/>
        </w:r>
        <w:r w:rsidR="00573904">
          <w:rPr>
            <w:noProof/>
            <w:webHidden/>
          </w:rPr>
          <w:instrText xml:space="preserve"> PAGEREF _Toc463604448 \h </w:instrText>
        </w:r>
        <w:r>
          <w:rPr>
            <w:noProof/>
            <w:webHidden/>
          </w:rPr>
        </w:r>
        <w:r>
          <w:rPr>
            <w:noProof/>
            <w:webHidden/>
          </w:rPr>
          <w:fldChar w:fldCharType="separate"/>
        </w:r>
        <w:r w:rsidR="00573904">
          <w:rPr>
            <w:noProof/>
            <w:webHidden/>
          </w:rPr>
          <w:t>33</w:t>
        </w:r>
        <w:r>
          <w:rPr>
            <w:noProof/>
            <w:webHidden/>
          </w:rPr>
          <w:fldChar w:fldCharType="end"/>
        </w:r>
      </w:hyperlink>
    </w:p>
    <w:p w:rsidR="00573904" w:rsidRDefault="00B815EF">
      <w:pPr>
        <w:pStyle w:val="TOC1"/>
        <w:rPr>
          <w:rFonts w:eastAsiaTheme="minorEastAsia"/>
          <w:noProof/>
          <w:sz w:val="22"/>
          <w:lang w:val="en-NZ" w:eastAsia="en-NZ"/>
        </w:rPr>
      </w:pPr>
      <w:hyperlink w:anchor="_Toc463604449" w:history="1">
        <w:r w:rsidR="00573904" w:rsidRPr="00020447">
          <w:rPr>
            <w:rStyle w:val="Hyperlink"/>
            <w:noProof/>
            <w:lang w:val="en-NZ"/>
          </w:rPr>
          <w:t>Allocation across year groups</w:t>
        </w:r>
        <w:r w:rsidR="00573904">
          <w:rPr>
            <w:noProof/>
            <w:webHidden/>
          </w:rPr>
          <w:tab/>
        </w:r>
        <w:r>
          <w:rPr>
            <w:noProof/>
            <w:webHidden/>
          </w:rPr>
          <w:fldChar w:fldCharType="begin"/>
        </w:r>
        <w:r w:rsidR="00573904">
          <w:rPr>
            <w:noProof/>
            <w:webHidden/>
          </w:rPr>
          <w:instrText xml:space="preserve"> PAGEREF _Toc463604449 \h </w:instrText>
        </w:r>
        <w:r>
          <w:rPr>
            <w:noProof/>
            <w:webHidden/>
          </w:rPr>
        </w:r>
        <w:r>
          <w:rPr>
            <w:noProof/>
            <w:webHidden/>
          </w:rPr>
          <w:fldChar w:fldCharType="separate"/>
        </w:r>
        <w:r w:rsidR="00573904">
          <w:rPr>
            <w:noProof/>
            <w:webHidden/>
          </w:rPr>
          <w:t>45</w:t>
        </w:r>
        <w:r>
          <w:rPr>
            <w:noProof/>
            <w:webHidden/>
          </w:rPr>
          <w:fldChar w:fldCharType="end"/>
        </w:r>
      </w:hyperlink>
    </w:p>
    <w:p w:rsidR="00573904" w:rsidRDefault="00B815EF">
      <w:pPr>
        <w:pStyle w:val="TOC1"/>
        <w:rPr>
          <w:rFonts w:eastAsiaTheme="minorEastAsia"/>
          <w:noProof/>
          <w:sz w:val="22"/>
          <w:lang w:val="en-NZ" w:eastAsia="en-NZ"/>
        </w:rPr>
      </w:pPr>
      <w:hyperlink w:anchor="_Toc463604450" w:history="1">
        <w:r w:rsidR="00573904" w:rsidRPr="00020447">
          <w:rPr>
            <w:rStyle w:val="Hyperlink"/>
            <w:noProof/>
            <w:lang w:val="en-NZ"/>
          </w:rPr>
          <w:t>About information collection</w:t>
        </w:r>
        <w:r w:rsidR="00573904">
          <w:rPr>
            <w:noProof/>
            <w:webHidden/>
          </w:rPr>
          <w:tab/>
        </w:r>
        <w:r>
          <w:rPr>
            <w:noProof/>
            <w:webHidden/>
          </w:rPr>
          <w:fldChar w:fldCharType="begin"/>
        </w:r>
        <w:r w:rsidR="00573904">
          <w:rPr>
            <w:noProof/>
            <w:webHidden/>
          </w:rPr>
          <w:instrText xml:space="preserve"> PAGEREF _Toc463604450 \h </w:instrText>
        </w:r>
        <w:r>
          <w:rPr>
            <w:noProof/>
            <w:webHidden/>
          </w:rPr>
        </w:r>
        <w:r>
          <w:rPr>
            <w:noProof/>
            <w:webHidden/>
          </w:rPr>
          <w:fldChar w:fldCharType="separate"/>
        </w:r>
        <w:r w:rsidR="00573904">
          <w:rPr>
            <w:noProof/>
            <w:webHidden/>
          </w:rPr>
          <w:t>51</w:t>
        </w:r>
        <w:r>
          <w:rPr>
            <w:noProof/>
            <w:webHidden/>
          </w:rPr>
          <w:fldChar w:fldCharType="end"/>
        </w:r>
      </w:hyperlink>
    </w:p>
    <w:p w:rsidR="00573904" w:rsidRDefault="00B815EF">
      <w:pPr>
        <w:pStyle w:val="TOC1"/>
        <w:rPr>
          <w:rFonts w:eastAsiaTheme="minorEastAsia"/>
          <w:noProof/>
          <w:sz w:val="22"/>
          <w:lang w:val="en-NZ" w:eastAsia="en-NZ"/>
        </w:rPr>
      </w:pPr>
      <w:hyperlink w:anchor="_Toc463604451" w:history="1">
        <w:r w:rsidR="00573904" w:rsidRPr="00020447">
          <w:rPr>
            <w:rStyle w:val="Hyperlink"/>
            <w:noProof/>
            <w:lang w:val="en-NZ"/>
          </w:rPr>
          <w:t>Disclaimer</w:t>
        </w:r>
        <w:r w:rsidR="00573904">
          <w:rPr>
            <w:noProof/>
            <w:webHidden/>
          </w:rPr>
          <w:tab/>
        </w:r>
        <w:r>
          <w:rPr>
            <w:noProof/>
            <w:webHidden/>
          </w:rPr>
          <w:fldChar w:fldCharType="begin"/>
        </w:r>
        <w:r w:rsidR="00573904">
          <w:rPr>
            <w:noProof/>
            <w:webHidden/>
          </w:rPr>
          <w:instrText xml:space="preserve"> PAGEREF _Toc463604451 \h </w:instrText>
        </w:r>
        <w:r>
          <w:rPr>
            <w:noProof/>
            <w:webHidden/>
          </w:rPr>
        </w:r>
        <w:r>
          <w:rPr>
            <w:noProof/>
            <w:webHidden/>
          </w:rPr>
          <w:fldChar w:fldCharType="separate"/>
        </w:r>
        <w:r w:rsidR="00573904">
          <w:rPr>
            <w:noProof/>
            <w:webHidden/>
          </w:rPr>
          <w:t>53</w:t>
        </w:r>
        <w:r>
          <w:rPr>
            <w:noProof/>
            <w:webHidden/>
          </w:rPr>
          <w:fldChar w:fldCharType="end"/>
        </w:r>
      </w:hyperlink>
    </w:p>
    <w:p w:rsidR="00573904" w:rsidRDefault="00B815EF">
      <w:pPr>
        <w:pStyle w:val="TOC1"/>
        <w:rPr>
          <w:rFonts w:eastAsiaTheme="minorEastAsia"/>
          <w:noProof/>
          <w:sz w:val="22"/>
          <w:lang w:val="en-NZ" w:eastAsia="en-NZ"/>
        </w:rPr>
      </w:pPr>
      <w:hyperlink w:anchor="_Toc463604452" w:history="1">
        <w:r w:rsidR="00573904" w:rsidRPr="00020447">
          <w:rPr>
            <w:rStyle w:val="Hyperlink"/>
            <w:noProof/>
            <w:lang w:val="en-NZ"/>
          </w:rPr>
          <w:t>Appendix A: Data Normalisation</w:t>
        </w:r>
        <w:r w:rsidR="00573904">
          <w:rPr>
            <w:noProof/>
            <w:webHidden/>
          </w:rPr>
          <w:tab/>
        </w:r>
        <w:r>
          <w:rPr>
            <w:noProof/>
            <w:webHidden/>
          </w:rPr>
          <w:fldChar w:fldCharType="begin"/>
        </w:r>
        <w:r w:rsidR="00573904">
          <w:rPr>
            <w:noProof/>
            <w:webHidden/>
          </w:rPr>
          <w:instrText xml:space="preserve"> PAGEREF _Toc463604452 \h </w:instrText>
        </w:r>
        <w:r>
          <w:rPr>
            <w:noProof/>
            <w:webHidden/>
          </w:rPr>
        </w:r>
        <w:r>
          <w:rPr>
            <w:noProof/>
            <w:webHidden/>
          </w:rPr>
          <w:fldChar w:fldCharType="separate"/>
        </w:r>
        <w:r w:rsidR="00573904">
          <w:rPr>
            <w:noProof/>
            <w:webHidden/>
          </w:rPr>
          <w:t>54</w:t>
        </w:r>
        <w:r>
          <w:rPr>
            <w:noProof/>
            <w:webHidden/>
          </w:rPr>
          <w:fldChar w:fldCharType="end"/>
        </w:r>
      </w:hyperlink>
    </w:p>
    <w:p w:rsidR="00573904" w:rsidRDefault="00B815EF">
      <w:pPr>
        <w:pStyle w:val="TOC1"/>
        <w:rPr>
          <w:rFonts w:eastAsiaTheme="minorEastAsia"/>
          <w:noProof/>
          <w:sz w:val="22"/>
          <w:lang w:val="en-NZ" w:eastAsia="en-NZ"/>
        </w:rPr>
      </w:pPr>
      <w:hyperlink w:anchor="_Toc463604453" w:history="1">
        <w:r w:rsidR="00573904" w:rsidRPr="00020447">
          <w:rPr>
            <w:rStyle w:val="Hyperlink"/>
            <w:noProof/>
            <w:lang w:val="en-NZ"/>
          </w:rPr>
          <w:t>Appendix B: Sample Schools</w:t>
        </w:r>
        <w:r w:rsidR="00573904">
          <w:rPr>
            <w:noProof/>
            <w:webHidden/>
          </w:rPr>
          <w:tab/>
        </w:r>
        <w:r>
          <w:rPr>
            <w:noProof/>
            <w:webHidden/>
          </w:rPr>
          <w:fldChar w:fldCharType="begin"/>
        </w:r>
        <w:r w:rsidR="00573904">
          <w:rPr>
            <w:noProof/>
            <w:webHidden/>
          </w:rPr>
          <w:instrText xml:space="preserve"> PAGEREF _Toc463604453 \h </w:instrText>
        </w:r>
        <w:r>
          <w:rPr>
            <w:noProof/>
            <w:webHidden/>
          </w:rPr>
        </w:r>
        <w:r>
          <w:rPr>
            <w:noProof/>
            <w:webHidden/>
          </w:rPr>
          <w:fldChar w:fldCharType="separate"/>
        </w:r>
        <w:r w:rsidR="00573904">
          <w:rPr>
            <w:noProof/>
            <w:webHidden/>
          </w:rPr>
          <w:t>57</w:t>
        </w:r>
        <w:r>
          <w:rPr>
            <w:noProof/>
            <w:webHidden/>
          </w:rPr>
          <w:fldChar w:fldCharType="end"/>
        </w:r>
      </w:hyperlink>
    </w:p>
    <w:p w:rsidR="000B6C05" w:rsidRPr="00DB433A" w:rsidRDefault="00B815EF" w:rsidP="00E94C20">
      <w:pPr>
        <w:rPr>
          <w:lang w:val="en-NZ"/>
        </w:rPr>
      </w:pPr>
      <w:r w:rsidRPr="00DB433A">
        <w:rPr>
          <w:sz w:val="28"/>
          <w:lang w:val="en-NZ"/>
        </w:rPr>
        <w:fldChar w:fldCharType="end"/>
      </w:r>
    </w:p>
    <w:p w:rsidR="005E3501" w:rsidRPr="00DB433A" w:rsidRDefault="005E3501" w:rsidP="00E94C20">
      <w:pPr>
        <w:rPr>
          <w:lang w:val="en-NZ"/>
        </w:rPr>
        <w:sectPr w:rsidR="005E3501" w:rsidRPr="00DB433A" w:rsidSect="00061444">
          <w:headerReference w:type="even" r:id="rId10"/>
          <w:headerReference w:type="default" r:id="rId11"/>
          <w:footerReference w:type="even" r:id="rId12"/>
          <w:footerReference w:type="default" r:id="rId13"/>
          <w:headerReference w:type="first" r:id="rId14"/>
          <w:footerReference w:type="first" r:id="rId15"/>
          <w:pgSz w:w="11906" w:h="16838" w:code="9"/>
          <w:pgMar w:top="1985" w:right="4281" w:bottom="567" w:left="680" w:header="680" w:footer="397" w:gutter="0"/>
          <w:pgNumType w:start="0"/>
          <w:cols w:space="284"/>
          <w:titlePg/>
          <w:docGrid w:linePitch="360"/>
        </w:sectPr>
      </w:pPr>
    </w:p>
    <w:p w:rsidR="00212852" w:rsidRPr="00DB433A" w:rsidRDefault="00F977A8" w:rsidP="000C1A68">
      <w:pPr>
        <w:pStyle w:val="Sectiontitle"/>
        <w:rPr>
          <w:lang w:val="en-NZ"/>
        </w:rPr>
      </w:pPr>
      <w:bookmarkStart w:id="2" w:name="_Toc463604444"/>
      <w:r>
        <w:rPr>
          <w:lang w:val="en-NZ"/>
        </w:rPr>
        <w:lastRenderedPageBreak/>
        <w:t>I</w:t>
      </w:r>
      <w:r w:rsidR="00CA4047" w:rsidRPr="00DB433A">
        <w:rPr>
          <w:lang w:val="en-NZ"/>
        </w:rPr>
        <w:t>ntroduction</w:t>
      </w:r>
      <w:r>
        <w:rPr>
          <w:lang w:val="en-NZ"/>
        </w:rPr>
        <w:t xml:space="preserve"> and summary</w:t>
      </w:r>
      <w:bookmarkEnd w:id="2"/>
    </w:p>
    <w:tbl>
      <w:tblPr>
        <w:tblStyle w:val="TableGrid"/>
        <w:tblpPr w:leftFromText="181" w:rightFromText="181" w:vertAnchor="text" w:horzAnchor="page" w:tblpX="7882" w:tblpY="1"/>
        <w:tblOverlap w:val="never"/>
        <w:tblW w:w="3345" w:type="dxa"/>
        <w:tblLayout w:type="fixed"/>
        <w:tblLook w:val="04A0"/>
      </w:tblPr>
      <w:tblGrid>
        <w:gridCol w:w="3345"/>
      </w:tblGrid>
      <w:tr w:rsidR="000D3A31" w:rsidRPr="00DB433A" w:rsidTr="00B53AB9">
        <w:trPr>
          <w:cnfStyle w:val="100000000000"/>
          <w:trHeight w:val="6233"/>
        </w:trPr>
        <w:tc>
          <w:tcPr>
            <w:tcW w:w="6945" w:type="dxa"/>
          </w:tcPr>
          <w:p w:rsidR="000D3A31" w:rsidRPr="00DB433A" w:rsidRDefault="000D3A31" w:rsidP="00B53AB9">
            <w:pPr>
              <w:pStyle w:val="PulloutGreen"/>
              <w:rPr>
                <w:lang w:val="en-NZ"/>
              </w:rPr>
            </w:pPr>
            <w:r w:rsidRPr="00DB433A">
              <w:rPr>
                <w:lang w:val="en-NZ"/>
              </w:rPr>
              <w:t>This report provides an information baseline for the Review of Education Funding Systems, currently underway by the Ministry of Education</w:t>
            </w:r>
          </w:p>
          <w:p w:rsidR="000D3A31" w:rsidRPr="00DB433A" w:rsidRDefault="000D3A31" w:rsidP="00B53AB9">
            <w:pPr>
              <w:pStyle w:val="QuotesourceGreen"/>
              <w:rPr>
                <w:lang w:val="en-NZ"/>
              </w:rPr>
            </w:pPr>
          </w:p>
        </w:tc>
      </w:tr>
    </w:tbl>
    <w:p w:rsidR="00F63B43" w:rsidRPr="00DB433A" w:rsidRDefault="00190DAE" w:rsidP="00C32C13">
      <w:pPr>
        <w:pStyle w:val="Sectionintro"/>
        <w:rPr>
          <w:lang w:val="en-NZ"/>
        </w:rPr>
      </w:pPr>
      <w:r w:rsidRPr="00DB433A">
        <w:rPr>
          <w:lang w:val="en-NZ"/>
        </w:rPr>
        <w:t>Background</w:t>
      </w:r>
    </w:p>
    <w:p w:rsidR="00523743" w:rsidRPr="00DB433A" w:rsidRDefault="00F63B43" w:rsidP="00F63B43">
      <w:pPr>
        <w:rPr>
          <w:lang w:val="en-NZ"/>
        </w:rPr>
      </w:pPr>
      <w:r w:rsidRPr="00DB433A">
        <w:rPr>
          <w:lang w:val="en-NZ"/>
        </w:rPr>
        <w:t>Th</w:t>
      </w:r>
      <w:r w:rsidR="00523743" w:rsidRPr="00DB433A">
        <w:rPr>
          <w:lang w:val="en-NZ"/>
        </w:rPr>
        <w:t xml:space="preserve">e Ministry of Education </w:t>
      </w:r>
      <w:r w:rsidR="00CE2603" w:rsidRPr="00DB433A">
        <w:rPr>
          <w:lang w:val="en-NZ"/>
        </w:rPr>
        <w:t xml:space="preserve">(the Ministry) </w:t>
      </w:r>
      <w:r w:rsidR="008722EC">
        <w:rPr>
          <w:lang w:val="en-NZ"/>
        </w:rPr>
        <w:t>is undertaking</w:t>
      </w:r>
      <w:r w:rsidR="00523743" w:rsidRPr="00DB433A">
        <w:rPr>
          <w:lang w:val="en-NZ"/>
        </w:rPr>
        <w:t xml:space="preserve"> a Review of the Education Funding Systems. </w:t>
      </w:r>
      <w:r w:rsidR="00CE2603" w:rsidRPr="00DB433A">
        <w:rPr>
          <w:lang w:val="en-NZ"/>
        </w:rPr>
        <w:t>The Review</w:t>
      </w:r>
      <w:r w:rsidR="00523743" w:rsidRPr="00DB433A">
        <w:rPr>
          <w:lang w:val="en-NZ"/>
        </w:rPr>
        <w:t xml:space="preserve"> is part of the Government’s Education Work Programme for building a sustainable, fit for purpose education system that enables all young New Zealanders to achieve educational success.</w:t>
      </w:r>
    </w:p>
    <w:p w:rsidR="00CE2603" w:rsidRPr="00DB433A" w:rsidRDefault="00CE2603" w:rsidP="00F63B43">
      <w:pPr>
        <w:rPr>
          <w:lang w:val="en-NZ"/>
        </w:rPr>
      </w:pPr>
      <w:r w:rsidRPr="00DB433A">
        <w:rPr>
          <w:lang w:val="en-NZ"/>
        </w:rPr>
        <w:t>As the Ministry tests proposed directions for change in greater depth, it requires more fine grained information on how state and state-integrated schools spend their funding. This includes funding the Government allocates to them, through staffing entitlements and the operational grant, and also areas where schools spend additional funding they raise from other sources, such as funding raised from international students and parental donations.</w:t>
      </w:r>
    </w:p>
    <w:p w:rsidR="00CE2603" w:rsidRPr="00DB433A" w:rsidRDefault="00CE2603" w:rsidP="00C32C13">
      <w:pPr>
        <w:pStyle w:val="Sectionintro"/>
        <w:rPr>
          <w:lang w:val="en-NZ"/>
        </w:rPr>
      </w:pPr>
      <w:r w:rsidRPr="00DB433A">
        <w:rPr>
          <w:lang w:val="en-NZ"/>
        </w:rPr>
        <w:t>Purpose of this report</w:t>
      </w:r>
    </w:p>
    <w:p w:rsidR="00CE2603" w:rsidRPr="00DB433A" w:rsidRDefault="00CE2603" w:rsidP="00CE2603">
      <w:pPr>
        <w:rPr>
          <w:lang w:val="en-NZ"/>
        </w:rPr>
      </w:pPr>
      <w:r w:rsidRPr="00DB433A">
        <w:rPr>
          <w:lang w:val="en-NZ"/>
        </w:rPr>
        <w:t xml:space="preserve">The purpose of our report is to present analysis and findings from </w:t>
      </w:r>
      <w:r w:rsidR="009C7BB6" w:rsidRPr="00DB433A">
        <w:rPr>
          <w:lang w:val="en-NZ"/>
        </w:rPr>
        <w:t>research we have conducted over a two-month period. It illustrates:</w:t>
      </w:r>
    </w:p>
    <w:p w:rsidR="009C7BB6" w:rsidRPr="00DB433A" w:rsidRDefault="009C7BB6" w:rsidP="00F50CE1">
      <w:pPr>
        <w:pStyle w:val="ListParagraph"/>
        <w:numPr>
          <w:ilvl w:val="0"/>
          <w:numId w:val="9"/>
        </w:numPr>
        <w:rPr>
          <w:lang w:val="en-NZ"/>
        </w:rPr>
      </w:pPr>
      <w:r w:rsidRPr="00DB433A">
        <w:rPr>
          <w:lang w:val="en-NZ"/>
        </w:rPr>
        <w:t>The sources of funding for schools, and how broadly they vary</w:t>
      </w:r>
    </w:p>
    <w:p w:rsidR="009C7BB6" w:rsidRPr="00DB433A" w:rsidRDefault="009C7BB6" w:rsidP="00F50CE1">
      <w:pPr>
        <w:pStyle w:val="ListParagraph"/>
        <w:numPr>
          <w:ilvl w:val="0"/>
          <w:numId w:val="9"/>
        </w:numPr>
        <w:rPr>
          <w:lang w:val="en-NZ"/>
        </w:rPr>
      </w:pPr>
      <w:r w:rsidRPr="00DB433A">
        <w:rPr>
          <w:lang w:val="en-NZ"/>
        </w:rPr>
        <w:t>The types of expenditure for schools, including staffing, and how broadly they vary</w:t>
      </w:r>
    </w:p>
    <w:p w:rsidR="009C7BB6" w:rsidRPr="00DB433A" w:rsidRDefault="009C7BB6" w:rsidP="00F50CE1">
      <w:pPr>
        <w:pStyle w:val="ListParagraph"/>
        <w:numPr>
          <w:ilvl w:val="0"/>
          <w:numId w:val="9"/>
        </w:numPr>
        <w:rPr>
          <w:lang w:val="en-NZ"/>
        </w:rPr>
      </w:pPr>
      <w:r w:rsidRPr="00DB433A">
        <w:rPr>
          <w:lang w:val="en-NZ"/>
        </w:rPr>
        <w:t xml:space="preserve">How schools allocate resources across year groups proportionally, and how that compares to </w:t>
      </w:r>
      <w:r w:rsidR="00FD4E62">
        <w:rPr>
          <w:lang w:val="en-NZ"/>
        </w:rPr>
        <w:t>government</w:t>
      </w:r>
      <w:r w:rsidRPr="00DB433A">
        <w:rPr>
          <w:lang w:val="en-NZ"/>
        </w:rPr>
        <w:t xml:space="preserve"> funding</w:t>
      </w:r>
    </w:p>
    <w:p w:rsidR="009C7BB6" w:rsidRDefault="009C7BB6" w:rsidP="009C7BB6">
      <w:pPr>
        <w:rPr>
          <w:lang w:val="en-NZ"/>
        </w:rPr>
      </w:pPr>
      <w:r w:rsidRPr="00DB433A">
        <w:rPr>
          <w:lang w:val="en-NZ"/>
        </w:rPr>
        <w:t>As such, this report provides an information baseline that will be useful for testing potential directions of change and for guiding further detailed analysis that will form part of the Review.</w:t>
      </w:r>
    </w:p>
    <w:p w:rsidR="00C374D2" w:rsidRDefault="00C374D2" w:rsidP="009C7BB6">
      <w:pPr>
        <w:rPr>
          <w:lang w:val="en-NZ"/>
        </w:rPr>
      </w:pPr>
      <w:r>
        <w:rPr>
          <w:lang w:val="en-NZ"/>
        </w:rPr>
        <w:t>The report does not provide specific recommendations or conclusions.</w:t>
      </w:r>
    </w:p>
    <w:p w:rsidR="006222D0" w:rsidRPr="00DB433A" w:rsidRDefault="006222D0" w:rsidP="006222D0">
      <w:pPr>
        <w:pStyle w:val="Sectionintro"/>
        <w:rPr>
          <w:lang w:val="en-NZ"/>
        </w:rPr>
      </w:pPr>
      <w:r>
        <w:rPr>
          <w:lang w:val="en-NZ"/>
        </w:rPr>
        <w:t>Findings are indicative</w:t>
      </w:r>
    </w:p>
    <w:p w:rsidR="006222D0" w:rsidRDefault="006222D0" w:rsidP="009C7BB6">
      <w:pPr>
        <w:rPr>
          <w:lang w:val="en-NZ"/>
        </w:rPr>
      </w:pPr>
      <w:r>
        <w:rPr>
          <w:lang w:val="en-NZ"/>
        </w:rPr>
        <w:t>The analysis in this report is based on large datasets (more than 2,000 schools) for payroll and financial information, but on very limited data (53 survey respondents and 17 interviews) in other areas.</w:t>
      </w:r>
    </w:p>
    <w:p w:rsidR="00F977A8" w:rsidRDefault="006222D0" w:rsidP="009C7BB6">
      <w:pPr>
        <w:rPr>
          <w:lang w:val="en-NZ"/>
        </w:rPr>
      </w:pPr>
      <w:r>
        <w:rPr>
          <w:lang w:val="en-NZ"/>
        </w:rPr>
        <w:t>Therefore the findings should be interpreted as indicative. We have referenced the data sources and sample sizes throughout the sections of the report.</w:t>
      </w:r>
    </w:p>
    <w:p w:rsidR="00F977A8" w:rsidRDefault="00F977A8" w:rsidP="009C7BB6">
      <w:pPr>
        <w:rPr>
          <w:lang w:val="en-NZ"/>
        </w:rPr>
      </w:pPr>
    </w:p>
    <w:p w:rsidR="00FD4E62" w:rsidRDefault="00FD4E62" w:rsidP="009C7BB6">
      <w:pPr>
        <w:rPr>
          <w:lang w:val="en-NZ"/>
        </w:rPr>
      </w:pPr>
    </w:p>
    <w:p w:rsidR="005E22D2" w:rsidRDefault="005E22D2" w:rsidP="009C7BB6">
      <w:pPr>
        <w:rPr>
          <w:lang w:val="en-NZ"/>
        </w:rPr>
      </w:pPr>
    </w:p>
    <w:p w:rsidR="00F977A8" w:rsidRPr="00DB433A" w:rsidRDefault="006222D0" w:rsidP="00F977A8">
      <w:pPr>
        <w:pStyle w:val="Sectionintro"/>
        <w:rPr>
          <w:lang w:val="en-NZ"/>
        </w:rPr>
      </w:pPr>
      <w:r>
        <w:rPr>
          <w:lang w:val="en-NZ"/>
        </w:rPr>
        <w:lastRenderedPageBreak/>
        <w:t>Summary of f</w:t>
      </w:r>
      <w:r w:rsidR="00F977A8">
        <w:rPr>
          <w:lang w:val="en-NZ"/>
        </w:rPr>
        <w:t>indings</w:t>
      </w:r>
    </w:p>
    <w:p w:rsidR="00020755" w:rsidRPr="00DB433A" w:rsidRDefault="00020755" w:rsidP="00020755">
      <w:pPr>
        <w:pStyle w:val="Heading1BlueNumbered"/>
        <w:numPr>
          <w:ilvl w:val="0"/>
          <w:numId w:val="0"/>
        </w:numPr>
        <w:ind w:left="851" w:hanging="851"/>
      </w:pPr>
      <w:r w:rsidRPr="00DB433A">
        <w:t>Allocation of teachers</w:t>
      </w:r>
    </w:p>
    <w:p w:rsidR="00020755" w:rsidRPr="00DB433A" w:rsidRDefault="00020755" w:rsidP="00020755">
      <w:pPr>
        <w:rPr>
          <w:lang w:val="en-NZ"/>
        </w:rPr>
      </w:pPr>
      <w:r w:rsidRPr="00DB433A">
        <w:rPr>
          <w:lang w:val="en-NZ"/>
        </w:rPr>
        <w:t>Allocations of teachers across year groups from schools that responded to our survey are broadly in line with the FTTE allocations the Ministry provides. Specifically, the allocations show lower student to teacher ratios at very junior and very senior years.</w:t>
      </w:r>
      <w:r w:rsidR="003A6E79">
        <w:rPr>
          <w:lang w:val="en-NZ"/>
        </w:rPr>
        <w:t xml:space="preserve"> Because of the small sample size, this information should be seen as indicative.</w:t>
      </w:r>
    </w:p>
    <w:p w:rsidR="00020755" w:rsidRPr="00DB433A" w:rsidRDefault="00020755" w:rsidP="00020755">
      <w:pPr>
        <w:rPr>
          <w:lang w:val="en-NZ"/>
        </w:rPr>
      </w:pPr>
      <w:r w:rsidRPr="00DB433A">
        <w:rPr>
          <w:lang w:val="en-NZ"/>
        </w:rPr>
        <w:t>We have seen little evidence that schools seek to mirror the funding formulae, with most schools treating the total FTTE entitlement as a single whole, and then allocating it based on their environment and needs.</w:t>
      </w:r>
    </w:p>
    <w:p w:rsidR="0025105E" w:rsidRPr="00DB433A" w:rsidRDefault="0025105E" w:rsidP="0025105E">
      <w:pPr>
        <w:pStyle w:val="Heading1BlueNumbered"/>
        <w:numPr>
          <w:ilvl w:val="0"/>
          <w:numId w:val="0"/>
        </w:numPr>
        <w:ind w:left="851" w:hanging="851"/>
      </w:pPr>
      <w:r w:rsidRPr="00DB433A">
        <w:t>Distribution of funding per student</w:t>
      </w:r>
    </w:p>
    <w:p w:rsidR="0025105E" w:rsidRDefault="0025105E" w:rsidP="0025105E">
      <w:pPr>
        <w:rPr>
          <w:lang w:val="en-NZ"/>
        </w:rPr>
      </w:pPr>
      <w:r w:rsidRPr="00DB433A">
        <w:rPr>
          <w:lang w:val="en-NZ"/>
        </w:rPr>
        <w:t xml:space="preserve">The range of </w:t>
      </w:r>
      <w:r w:rsidR="000E3F4C">
        <w:rPr>
          <w:lang w:val="en-NZ"/>
        </w:rPr>
        <w:t>g</w:t>
      </w:r>
      <w:r w:rsidRPr="00DB433A">
        <w:rPr>
          <w:lang w:val="en-NZ"/>
        </w:rPr>
        <w:t>overnment funding per student is quite broad. At the high end of funding per student, this is largely explained by school size</w:t>
      </w:r>
      <w:r w:rsidR="00FD4E62">
        <w:rPr>
          <w:lang w:val="en-NZ"/>
        </w:rPr>
        <w:t xml:space="preserve"> </w:t>
      </w:r>
      <w:r w:rsidRPr="00DB433A">
        <w:rPr>
          <w:lang w:val="en-NZ"/>
        </w:rPr>
        <w:t>and the nature of schools (e.g. Special Education schools</w:t>
      </w:r>
      <w:r>
        <w:rPr>
          <w:lang w:val="en-NZ"/>
        </w:rPr>
        <w:t>).</w:t>
      </w:r>
    </w:p>
    <w:p w:rsidR="0025105E" w:rsidRDefault="0025105E" w:rsidP="0025105E">
      <w:pPr>
        <w:rPr>
          <w:lang w:val="en-NZ"/>
        </w:rPr>
      </w:pPr>
      <w:r>
        <w:rPr>
          <w:lang w:val="en-NZ"/>
        </w:rPr>
        <w:t>I</w:t>
      </w:r>
      <w:r w:rsidRPr="00DB433A">
        <w:rPr>
          <w:lang w:val="en-NZ"/>
        </w:rPr>
        <w:t>n the densest part of the distribution that represents the majority of schools, the range is also relatively high</w:t>
      </w:r>
      <w:r>
        <w:rPr>
          <w:lang w:val="en-NZ"/>
        </w:rPr>
        <w:t>. This is not due to any one factor but reflects combinations of:</w:t>
      </w:r>
    </w:p>
    <w:p w:rsidR="0025105E" w:rsidRDefault="0025105E" w:rsidP="0025105E">
      <w:pPr>
        <w:pStyle w:val="ListParagraph"/>
        <w:numPr>
          <w:ilvl w:val="0"/>
          <w:numId w:val="37"/>
        </w:numPr>
        <w:rPr>
          <w:lang w:val="en-NZ"/>
        </w:rPr>
      </w:pPr>
      <w:r>
        <w:rPr>
          <w:lang w:val="en-NZ"/>
        </w:rPr>
        <w:t>School size</w:t>
      </w:r>
    </w:p>
    <w:p w:rsidR="0025105E" w:rsidRDefault="0025105E" w:rsidP="0025105E">
      <w:pPr>
        <w:pStyle w:val="ListParagraph"/>
        <w:numPr>
          <w:ilvl w:val="0"/>
          <w:numId w:val="37"/>
        </w:numPr>
        <w:rPr>
          <w:lang w:val="en-NZ"/>
        </w:rPr>
      </w:pPr>
      <w:r>
        <w:rPr>
          <w:lang w:val="en-NZ"/>
        </w:rPr>
        <w:t>Targeted funding for students with particular needs</w:t>
      </w:r>
    </w:p>
    <w:p w:rsidR="0025105E" w:rsidRDefault="0025105E" w:rsidP="0025105E">
      <w:pPr>
        <w:pStyle w:val="ListParagraph"/>
        <w:numPr>
          <w:ilvl w:val="0"/>
          <w:numId w:val="37"/>
        </w:numPr>
        <w:rPr>
          <w:lang w:val="en-NZ"/>
        </w:rPr>
      </w:pPr>
      <w:r>
        <w:rPr>
          <w:lang w:val="en-NZ"/>
        </w:rPr>
        <w:t>Special programmes or additional responsibilities</w:t>
      </w:r>
    </w:p>
    <w:p w:rsidR="0025105E" w:rsidRPr="00893625" w:rsidRDefault="0025105E" w:rsidP="0025105E">
      <w:pPr>
        <w:pStyle w:val="ListParagraph"/>
        <w:numPr>
          <w:ilvl w:val="0"/>
          <w:numId w:val="37"/>
        </w:numPr>
        <w:rPr>
          <w:lang w:val="en-NZ"/>
        </w:rPr>
      </w:pPr>
      <w:r>
        <w:rPr>
          <w:lang w:val="en-NZ"/>
        </w:rPr>
        <w:t>Maori Immersion</w:t>
      </w:r>
    </w:p>
    <w:p w:rsidR="0025105E" w:rsidRPr="00DB433A" w:rsidRDefault="00F40CDB" w:rsidP="0025105E">
      <w:pPr>
        <w:pStyle w:val="Heading1BlueNumbered"/>
        <w:numPr>
          <w:ilvl w:val="0"/>
          <w:numId w:val="0"/>
        </w:numPr>
        <w:ind w:left="851" w:hanging="851"/>
      </w:pPr>
      <w:r>
        <w:t>Locally raised funds</w:t>
      </w:r>
    </w:p>
    <w:p w:rsidR="00A87C3C" w:rsidRDefault="00A87C3C" w:rsidP="0025105E">
      <w:pPr>
        <w:rPr>
          <w:lang w:val="en-NZ"/>
        </w:rPr>
      </w:pPr>
      <w:r>
        <w:rPr>
          <w:lang w:val="en-NZ"/>
        </w:rPr>
        <w:t>On average, secondary schools have higher net locally raised funds</w:t>
      </w:r>
      <w:r w:rsidR="00DA5B07">
        <w:rPr>
          <w:rStyle w:val="FootnoteReference"/>
          <w:lang w:val="en-NZ"/>
        </w:rPr>
        <w:footnoteReference w:id="1"/>
      </w:r>
      <w:r>
        <w:rPr>
          <w:lang w:val="en-NZ"/>
        </w:rPr>
        <w:t xml:space="preserve"> than other schools ($560 per student compared to $</w:t>
      </w:r>
      <w:r w:rsidR="00FE4A44">
        <w:rPr>
          <w:lang w:val="en-NZ"/>
        </w:rPr>
        <w:t>296 per student for primary and intermediate schools).</w:t>
      </w:r>
    </w:p>
    <w:p w:rsidR="0025105E" w:rsidRPr="00DB433A" w:rsidRDefault="0025105E" w:rsidP="0025105E">
      <w:pPr>
        <w:rPr>
          <w:lang w:val="en-NZ"/>
        </w:rPr>
      </w:pPr>
      <w:r w:rsidRPr="00DB433A">
        <w:rPr>
          <w:lang w:val="en-NZ"/>
        </w:rPr>
        <w:t>While lower decile schools tend to have less locally raised funds than higher decile schools, all deciles are represented across the spectrum – i.e. some lower decile schools have relatively high locally raised funds per students, and some higher decile schools have relatively low locally raised funds per student.</w:t>
      </w:r>
    </w:p>
    <w:p w:rsidR="0025105E" w:rsidRPr="00DB433A" w:rsidRDefault="0025105E" w:rsidP="0025105E">
      <w:pPr>
        <w:pStyle w:val="Heading1BlueNumbered"/>
        <w:numPr>
          <w:ilvl w:val="0"/>
          <w:numId w:val="0"/>
        </w:numPr>
        <w:ind w:left="851" w:hanging="851"/>
      </w:pPr>
      <w:r w:rsidRPr="00DB433A">
        <w:t>International student income</w:t>
      </w:r>
    </w:p>
    <w:p w:rsidR="0025105E" w:rsidRDefault="0025105E" w:rsidP="0025105E">
      <w:pPr>
        <w:rPr>
          <w:lang w:val="en-NZ"/>
        </w:rPr>
      </w:pPr>
      <w:r w:rsidRPr="00DB433A">
        <w:rPr>
          <w:lang w:val="en-NZ"/>
        </w:rPr>
        <w:t>For some schools, the ability to generate additional income from international students creates opportunities that benefit all of their students. While accounting practices to reflect the costs of international students vary, most schools with international students are able to invest surplus revenue into additional resources for all students.</w:t>
      </w:r>
    </w:p>
    <w:p w:rsidR="00807B04" w:rsidRDefault="00807B04" w:rsidP="00807B04">
      <w:pPr>
        <w:rPr>
          <w:noProof/>
          <w:lang w:val="en-NZ" w:eastAsia="en-NZ"/>
        </w:rPr>
      </w:pPr>
      <w:r>
        <w:rPr>
          <w:noProof/>
          <w:lang w:val="en-NZ" w:eastAsia="en-NZ"/>
        </w:rPr>
        <w:t xml:space="preserve">Through our reviews of the financial statements and interviews with some of these schools, we believe </w:t>
      </w:r>
      <w:r w:rsidRPr="00DB433A">
        <w:rPr>
          <w:lang w:val="en-NZ"/>
        </w:rPr>
        <w:t>accounting practices to reflect the costs of international students vary</w:t>
      </w:r>
      <w:r>
        <w:rPr>
          <w:lang w:val="en-NZ"/>
        </w:rPr>
        <w:t xml:space="preserve">. </w:t>
      </w:r>
      <w:r>
        <w:rPr>
          <w:noProof/>
          <w:lang w:val="en-NZ" w:eastAsia="en-NZ"/>
        </w:rPr>
        <w:t xml:space="preserve">We believe the surplus generally reflects direct incremental costs only and does </w:t>
      </w:r>
      <w:r w:rsidRPr="000C27B8">
        <w:rPr>
          <w:noProof/>
          <w:u w:val="single"/>
          <w:lang w:val="en-NZ" w:eastAsia="en-NZ"/>
        </w:rPr>
        <w:t>not</w:t>
      </w:r>
      <w:r>
        <w:rPr>
          <w:noProof/>
          <w:lang w:val="en-NZ" w:eastAsia="en-NZ"/>
        </w:rPr>
        <w:t xml:space="preserve"> include:</w:t>
      </w:r>
    </w:p>
    <w:p w:rsidR="00807B04" w:rsidRDefault="00807B04" w:rsidP="00807B04">
      <w:pPr>
        <w:pStyle w:val="ListParagraph"/>
        <w:numPr>
          <w:ilvl w:val="0"/>
          <w:numId w:val="43"/>
        </w:numPr>
        <w:rPr>
          <w:noProof/>
          <w:lang w:val="en-NZ" w:eastAsia="en-NZ"/>
        </w:rPr>
      </w:pPr>
      <w:r>
        <w:rPr>
          <w:lang w:val="en-NZ"/>
        </w:rPr>
        <w:t>I</w:t>
      </w:r>
      <w:r w:rsidRPr="000C27B8">
        <w:rPr>
          <w:lang w:val="en-NZ"/>
        </w:rPr>
        <w:t>nfrastructure</w:t>
      </w:r>
      <w:r>
        <w:rPr>
          <w:lang w:val="en-NZ"/>
        </w:rPr>
        <w:t xml:space="preserve"> costs – e.g. capacity / buildings required to accommodate international student numbers</w:t>
      </w:r>
    </w:p>
    <w:p w:rsidR="00807B04" w:rsidRPr="000C27B8" w:rsidRDefault="00807B04" w:rsidP="00807B04">
      <w:pPr>
        <w:pStyle w:val="ListParagraph"/>
        <w:numPr>
          <w:ilvl w:val="0"/>
          <w:numId w:val="43"/>
        </w:numPr>
        <w:rPr>
          <w:noProof/>
          <w:lang w:val="en-NZ" w:eastAsia="en-NZ"/>
        </w:rPr>
      </w:pPr>
      <w:r>
        <w:rPr>
          <w:lang w:val="en-NZ"/>
        </w:rPr>
        <w:t>Teaching costs – i.e. the additional teachers needed by a school or across the sector to teach international students</w:t>
      </w:r>
    </w:p>
    <w:p w:rsidR="00807B04" w:rsidRDefault="00807B04" w:rsidP="00807B04">
      <w:pPr>
        <w:rPr>
          <w:lang w:val="en-NZ"/>
        </w:rPr>
      </w:pPr>
      <w:r>
        <w:rPr>
          <w:lang w:val="en-NZ"/>
        </w:rPr>
        <w:lastRenderedPageBreak/>
        <w:t>If the above were taken into account, the surplus on international students is likely to be significantly smaller.</w:t>
      </w:r>
    </w:p>
    <w:p w:rsidR="0025105E" w:rsidRPr="00DB433A" w:rsidRDefault="0025105E" w:rsidP="0025105E">
      <w:pPr>
        <w:pStyle w:val="Heading1BlueNumbered"/>
        <w:numPr>
          <w:ilvl w:val="0"/>
          <w:numId w:val="0"/>
        </w:numPr>
        <w:ind w:left="851" w:hanging="851"/>
      </w:pPr>
      <w:r w:rsidRPr="00DB433A">
        <w:t xml:space="preserve">Cash </w:t>
      </w:r>
      <w:r>
        <w:t>reserves</w:t>
      </w:r>
    </w:p>
    <w:p w:rsidR="0025105E" w:rsidRDefault="0025105E" w:rsidP="0025105E">
      <w:pPr>
        <w:rPr>
          <w:lang w:val="en-NZ"/>
        </w:rPr>
      </w:pPr>
      <w:r w:rsidRPr="00DB433A">
        <w:rPr>
          <w:lang w:val="en-NZ"/>
        </w:rPr>
        <w:t xml:space="preserve">While </w:t>
      </w:r>
      <w:r>
        <w:rPr>
          <w:lang w:val="en-NZ"/>
        </w:rPr>
        <w:t>there are a number of schools that have significant cash balances</w:t>
      </w:r>
      <w:r w:rsidR="00E13F3D">
        <w:rPr>
          <w:lang w:val="en-NZ"/>
        </w:rPr>
        <w:t xml:space="preserve"> (at year-end)</w:t>
      </w:r>
      <w:r>
        <w:rPr>
          <w:lang w:val="en-NZ"/>
        </w:rPr>
        <w:t>, there are very few that might be considered “cash-rich” when taking financial considerations such as working capital and liquidity requirements into account.</w:t>
      </w:r>
    </w:p>
    <w:p w:rsidR="0025105E" w:rsidRPr="00DB433A" w:rsidRDefault="0025105E" w:rsidP="0025105E">
      <w:pPr>
        <w:pStyle w:val="Heading1BlueNumbered"/>
        <w:numPr>
          <w:ilvl w:val="0"/>
          <w:numId w:val="0"/>
        </w:numPr>
        <w:ind w:left="851" w:hanging="851"/>
      </w:pPr>
      <w:r w:rsidRPr="00DB433A">
        <w:t>Relationship between funding sources and expenditure</w:t>
      </w:r>
    </w:p>
    <w:p w:rsidR="0025105E" w:rsidRPr="00DB433A" w:rsidRDefault="003A6E79" w:rsidP="0025105E">
      <w:pPr>
        <w:rPr>
          <w:lang w:val="en-NZ"/>
        </w:rPr>
      </w:pPr>
      <w:r>
        <w:rPr>
          <w:lang w:val="en-NZ"/>
        </w:rPr>
        <w:t>S</w:t>
      </w:r>
      <w:r w:rsidR="0025105E" w:rsidRPr="00DB433A">
        <w:rPr>
          <w:lang w:val="en-NZ"/>
        </w:rPr>
        <w:t xml:space="preserve">chools do not </w:t>
      </w:r>
      <w:r w:rsidR="00020755">
        <w:rPr>
          <w:lang w:val="en-NZ"/>
        </w:rPr>
        <w:t xml:space="preserve">tend to </w:t>
      </w:r>
      <w:r w:rsidR="0025105E" w:rsidRPr="00DB433A">
        <w:rPr>
          <w:lang w:val="en-NZ"/>
        </w:rPr>
        <w:t>relate specific line items of expenditure to specific line items of funding. While the funding line items are occasionally used as guidance by schools, the general approach is that all funding goes into a “pot” and then all expenditure draws from that pot. For example, if a school subsidises co-curricular activity such as cultural or sports groups, it does not specifically consider whether that money comes from the Ministry’s operations grant, surplus revenue from international students, or general donations.</w:t>
      </w:r>
    </w:p>
    <w:p w:rsidR="0025105E" w:rsidRPr="00DB433A" w:rsidRDefault="0025105E" w:rsidP="0025105E">
      <w:pPr>
        <w:pStyle w:val="Heading1BlueNumbered"/>
        <w:numPr>
          <w:ilvl w:val="0"/>
          <w:numId w:val="0"/>
        </w:numPr>
        <w:ind w:left="851" w:hanging="851"/>
      </w:pPr>
      <w:r w:rsidRPr="00DB433A">
        <w:t>Distribution of expenditure varies</w:t>
      </w:r>
    </w:p>
    <w:p w:rsidR="0025105E" w:rsidRDefault="0025105E" w:rsidP="0025105E">
      <w:pPr>
        <w:rPr>
          <w:lang w:val="en-NZ"/>
        </w:rPr>
      </w:pPr>
      <w:r w:rsidRPr="00DB433A">
        <w:rPr>
          <w:lang w:val="en-NZ"/>
        </w:rPr>
        <w:t xml:space="preserve">The pattern of expenditure across individual schools varies </w:t>
      </w:r>
      <w:r>
        <w:rPr>
          <w:lang w:val="en-NZ"/>
        </w:rPr>
        <w:t xml:space="preserve">more for primary and intermediate schools than for secondary schools. Generally, average expenditure per student trends down as roll size increases. </w:t>
      </w:r>
      <w:r w:rsidR="001737F2">
        <w:rPr>
          <w:lang w:val="en-NZ"/>
        </w:rPr>
        <w:t xml:space="preserve">The table below shows </w:t>
      </w:r>
      <w:r w:rsidR="00675422">
        <w:rPr>
          <w:lang w:val="en-NZ"/>
        </w:rPr>
        <w:t xml:space="preserve">the levels of variation via </w:t>
      </w:r>
      <w:r w:rsidR="001737F2">
        <w:rPr>
          <w:lang w:val="en-NZ"/>
        </w:rPr>
        <w:t>the proportion of schools within a percentage margin of the</w:t>
      </w:r>
      <w:r>
        <w:rPr>
          <w:lang w:val="en-NZ"/>
        </w:rPr>
        <w:t xml:space="preserve"> moving average</w:t>
      </w:r>
      <w:r w:rsidR="0073711D">
        <w:rPr>
          <w:rStyle w:val="FootnoteReference"/>
          <w:lang w:val="en-NZ"/>
        </w:rPr>
        <w:footnoteReference w:id="2"/>
      </w:r>
      <w:r>
        <w:rPr>
          <w:lang w:val="en-NZ"/>
        </w:rPr>
        <w:t xml:space="preserve"> (for roll s</w:t>
      </w:r>
      <w:r w:rsidR="00750682">
        <w:rPr>
          <w:lang w:val="en-NZ"/>
        </w:rPr>
        <w:t>ize 100+</w:t>
      </w:r>
      <w:r w:rsidR="001737F2">
        <w:rPr>
          <w:lang w:val="en-NZ"/>
        </w:rPr>
        <w:t xml:space="preserve"> for primary and intermediates; </w:t>
      </w:r>
      <w:r>
        <w:rPr>
          <w:lang w:val="en-NZ"/>
        </w:rPr>
        <w:t>roll size 500+</w:t>
      </w:r>
      <w:r w:rsidR="001737F2">
        <w:rPr>
          <w:lang w:val="en-NZ"/>
        </w:rPr>
        <w:t xml:space="preserve"> for secondary</w:t>
      </w:r>
      <w:r>
        <w:rPr>
          <w:lang w:val="en-NZ"/>
        </w:rPr>
        <w:t>).</w:t>
      </w:r>
    </w:p>
    <w:tbl>
      <w:tblPr>
        <w:tblW w:w="6860" w:type="dxa"/>
        <w:tblInd w:w="93" w:type="dxa"/>
        <w:tblLook w:val="04A0"/>
      </w:tblPr>
      <w:tblGrid>
        <w:gridCol w:w="2780"/>
        <w:gridCol w:w="1360"/>
        <w:gridCol w:w="1360"/>
        <w:gridCol w:w="1360"/>
      </w:tblGrid>
      <w:tr w:rsidR="001737F2" w:rsidRPr="001737F2" w:rsidTr="001737F2">
        <w:trPr>
          <w:trHeight w:val="300"/>
        </w:trPr>
        <w:tc>
          <w:tcPr>
            <w:tcW w:w="6860" w:type="dxa"/>
            <w:gridSpan w:val="4"/>
            <w:tcBorders>
              <w:top w:val="single" w:sz="8" w:space="0" w:color="86BC25"/>
              <w:left w:val="single" w:sz="8" w:space="0" w:color="86BC25"/>
              <w:bottom w:val="single" w:sz="8" w:space="0" w:color="86BC25"/>
              <w:right w:val="nil"/>
            </w:tcBorders>
            <w:shd w:val="clear" w:color="000000" w:fill="86BC25"/>
            <w:vAlign w:val="center"/>
            <w:hideMark/>
          </w:tcPr>
          <w:p w:rsidR="001737F2" w:rsidRPr="001737F2" w:rsidRDefault="001737F2" w:rsidP="001737F2">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Proportion of schools within X% of moving average</w:t>
            </w:r>
          </w:p>
        </w:tc>
      </w:tr>
      <w:tr w:rsidR="001737F2" w:rsidRPr="001737F2" w:rsidTr="001737F2">
        <w:trPr>
          <w:trHeight w:val="300"/>
        </w:trPr>
        <w:tc>
          <w:tcPr>
            <w:tcW w:w="2780" w:type="dxa"/>
            <w:tcBorders>
              <w:top w:val="nil"/>
              <w:left w:val="single" w:sz="8" w:space="0" w:color="86BC25"/>
              <w:bottom w:val="nil"/>
              <w:right w:val="nil"/>
            </w:tcBorders>
            <w:shd w:val="clear" w:color="000000" w:fill="86BC25"/>
            <w:vAlign w:val="center"/>
            <w:hideMark/>
          </w:tcPr>
          <w:p w:rsidR="001737F2" w:rsidRPr="001737F2" w:rsidRDefault="001737F2" w:rsidP="001737F2">
            <w:pPr>
              <w:spacing w:after="0" w:line="240" w:lineRule="auto"/>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 </w:t>
            </w:r>
          </w:p>
        </w:tc>
        <w:tc>
          <w:tcPr>
            <w:tcW w:w="1360" w:type="dxa"/>
            <w:tcBorders>
              <w:top w:val="nil"/>
              <w:left w:val="nil"/>
              <w:bottom w:val="nil"/>
              <w:right w:val="nil"/>
            </w:tcBorders>
            <w:shd w:val="clear" w:color="000000" w:fill="86BC25"/>
            <w:vAlign w:val="center"/>
            <w:hideMark/>
          </w:tcPr>
          <w:p w:rsidR="001737F2" w:rsidRPr="001737F2" w:rsidRDefault="001737F2" w:rsidP="001737F2">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10%</w:t>
            </w:r>
          </w:p>
        </w:tc>
        <w:tc>
          <w:tcPr>
            <w:tcW w:w="1360" w:type="dxa"/>
            <w:tcBorders>
              <w:top w:val="nil"/>
              <w:left w:val="nil"/>
              <w:bottom w:val="nil"/>
              <w:right w:val="nil"/>
            </w:tcBorders>
            <w:shd w:val="clear" w:color="000000" w:fill="86BC25"/>
            <w:vAlign w:val="center"/>
            <w:hideMark/>
          </w:tcPr>
          <w:p w:rsidR="001737F2" w:rsidRPr="001737F2" w:rsidRDefault="001737F2" w:rsidP="001737F2">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15%</w:t>
            </w:r>
          </w:p>
        </w:tc>
        <w:tc>
          <w:tcPr>
            <w:tcW w:w="1360" w:type="dxa"/>
            <w:tcBorders>
              <w:top w:val="nil"/>
              <w:left w:val="nil"/>
              <w:bottom w:val="nil"/>
              <w:right w:val="nil"/>
            </w:tcBorders>
            <w:shd w:val="clear" w:color="000000" w:fill="86BC25"/>
            <w:vAlign w:val="center"/>
            <w:hideMark/>
          </w:tcPr>
          <w:p w:rsidR="001737F2" w:rsidRPr="001737F2" w:rsidRDefault="001737F2" w:rsidP="001737F2">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20%</w:t>
            </w:r>
          </w:p>
        </w:tc>
      </w:tr>
      <w:tr w:rsidR="001737F2" w:rsidRPr="001737F2" w:rsidTr="001737F2">
        <w:trPr>
          <w:trHeight w:val="300"/>
        </w:trPr>
        <w:tc>
          <w:tcPr>
            <w:tcW w:w="2780" w:type="dxa"/>
            <w:tcBorders>
              <w:top w:val="single" w:sz="8" w:space="0" w:color="86BC25"/>
              <w:left w:val="single" w:sz="8" w:space="0" w:color="86BC25"/>
              <w:bottom w:val="single" w:sz="8" w:space="0" w:color="86BC25"/>
              <w:right w:val="nil"/>
            </w:tcBorders>
            <w:shd w:val="clear" w:color="auto" w:fill="auto"/>
            <w:vAlign w:val="center"/>
            <w:hideMark/>
          </w:tcPr>
          <w:p w:rsidR="001737F2" w:rsidRPr="001737F2" w:rsidRDefault="001737F2" w:rsidP="001737F2">
            <w:pPr>
              <w:spacing w:after="0" w:line="240" w:lineRule="auto"/>
              <w:rPr>
                <w:rFonts w:ascii="Verdana" w:eastAsia="Times New Roman" w:hAnsi="Verdana" w:cs="Arial"/>
                <w:b/>
                <w:bCs/>
                <w:color w:val="000000"/>
                <w:szCs w:val="18"/>
                <w:lang w:val="en-NZ" w:eastAsia="en-NZ"/>
              </w:rPr>
            </w:pPr>
            <w:r w:rsidRPr="001737F2">
              <w:rPr>
                <w:rFonts w:ascii="Verdana" w:eastAsia="Times New Roman" w:hAnsi="Verdana" w:cs="Arial"/>
                <w:b/>
                <w:bCs/>
                <w:color w:val="000000"/>
                <w:szCs w:val="18"/>
                <w:lang w:val="en-NZ" w:eastAsia="en-NZ"/>
              </w:rPr>
              <w:t>Primary &amp; Intermediate</w:t>
            </w:r>
          </w:p>
        </w:tc>
        <w:tc>
          <w:tcPr>
            <w:tcW w:w="1360" w:type="dxa"/>
            <w:tcBorders>
              <w:top w:val="single" w:sz="8" w:space="0" w:color="86BC25"/>
              <w:left w:val="nil"/>
              <w:bottom w:val="single" w:sz="8" w:space="0" w:color="86BC25"/>
              <w:right w:val="nil"/>
            </w:tcBorders>
            <w:shd w:val="clear" w:color="auto" w:fill="auto"/>
            <w:vAlign w:val="center"/>
            <w:hideMark/>
          </w:tcPr>
          <w:p w:rsidR="001737F2" w:rsidRPr="001737F2" w:rsidRDefault="001737F2" w:rsidP="001737F2">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46%</w:t>
            </w:r>
          </w:p>
        </w:tc>
        <w:tc>
          <w:tcPr>
            <w:tcW w:w="1360" w:type="dxa"/>
            <w:tcBorders>
              <w:top w:val="single" w:sz="8" w:space="0" w:color="86BC25"/>
              <w:left w:val="nil"/>
              <w:bottom w:val="single" w:sz="8" w:space="0" w:color="86BC25"/>
              <w:right w:val="nil"/>
            </w:tcBorders>
            <w:shd w:val="clear" w:color="auto" w:fill="auto"/>
            <w:vAlign w:val="center"/>
            <w:hideMark/>
          </w:tcPr>
          <w:p w:rsidR="001737F2" w:rsidRPr="001737F2" w:rsidRDefault="001737F2" w:rsidP="001737F2">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73%</w:t>
            </w:r>
          </w:p>
        </w:tc>
        <w:tc>
          <w:tcPr>
            <w:tcW w:w="1360" w:type="dxa"/>
            <w:tcBorders>
              <w:top w:val="single" w:sz="8" w:space="0" w:color="86BC25"/>
              <w:left w:val="nil"/>
              <w:bottom w:val="single" w:sz="8" w:space="0" w:color="86BC25"/>
              <w:right w:val="single" w:sz="8" w:space="0" w:color="86BC25"/>
            </w:tcBorders>
            <w:shd w:val="clear" w:color="auto" w:fill="auto"/>
            <w:vAlign w:val="center"/>
            <w:hideMark/>
          </w:tcPr>
          <w:p w:rsidR="001737F2" w:rsidRPr="001737F2" w:rsidRDefault="001737F2" w:rsidP="001737F2">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92%</w:t>
            </w:r>
          </w:p>
        </w:tc>
      </w:tr>
      <w:tr w:rsidR="001737F2" w:rsidRPr="001737F2" w:rsidTr="001737F2">
        <w:trPr>
          <w:trHeight w:val="300"/>
        </w:trPr>
        <w:tc>
          <w:tcPr>
            <w:tcW w:w="2780" w:type="dxa"/>
            <w:tcBorders>
              <w:top w:val="nil"/>
              <w:left w:val="single" w:sz="8" w:space="0" w:color="86BC25"/>
              <w:bottom w:val="single" w:sz="8" w:space="0" w:color="86BC25"/>
              <w:right w:val="nil"/>
            </w:tcBorders>
            <w:shd w:val="clear" w:color="auto" w:fill="auto"/>
            <w:vAlign w:val="center"/>
            <w:hideMark/>
          </w:tcPr>
          <w:p w:rsidR="001737F2" w:rsidRPr="001737F2" w:rsidRDefault="001737F2" w:rsidP="001737F2">
            <w:pPr>
              <w:spacing w:after="0" w:line="240" w:lineRule="auto"/>
              <w:rPr>
                <w:rFonts w:ascii="Verdana" w:eastAsia="Times New Roman" w:hAnsi="Verdana" w:cs="Arial"/>
                <w:b/>
                <w:bCs/>
                <w:color w:val="000000"/>
                <w:szCs w:val="18"/>
                <w:lang w:val="en-NZ" w:eastAsia="en-NZ"/>
              </w:rPr>
            </w:pPr>
            <w:r w:rsidRPr="001737F2">
              <w:rPr>
                <w:rFonts w:ascii="Verdana" w:eastAsia="Times New Roman" w:hAnsi="Verdana" w:cs="Arial"/>
                <w:b/>
                <w:bCs/>
                <w:color w:val="000000"/>
                <w:szCs w:val="18"/>
                <w:lang w:val="en-NZ" w:eastAsia="en-NZ"/>
              </w:rPr>
              <w:t>Secondary</w:t>
            </w:r>
          </w:p>
        </w:tc>
        <w:tc>
          <w:tcPr>
            <w:tcW w:w="1360" w:type="dxa"/>
            <w:tcBorders>
              <w:top w:val="nil"/>
              <w:left w:val="nil"/>
              <w:bottom w:val="single" w:sz="8" w:space="0" w:color="86BC25"/>
              <w:right w:val="nil"/>
            </w:tcBorders>
            <w:shd w:val="clear" w:color="auto" w:fill="auto"/>
            <w:vAlign w:val="center"/>
            <w:hideMark/>
          </w:tcPr>
          <w:p w:rsidR="001737F2" w:rsidRPr="001737F2" w:rsidRDefault="001737F2" w:rsidP="001737F2">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59%</w:t>
            </w:r>
          </w:p>
        </w:tc>
        <w:tc>
          <w:tcPr>
            <w:tcW w:w="1360" w:type="dxa"/>
            <w:tcBorders>
              <w:top w:val="nil"/>
              <w:left w:val="nil"/>
              <w:bottom w:val="single" w:sz="8" w:space="0" w:color="86BC25"/>
              <w:right w:val="nil"/>
            </w:tcBorders>
            <w:shd w:val="clear" w:color="auto" w:fill="auto"/>
            <w:vAlign w:val="center"/>
            <w:hideMark/>
          </w:tcPr>
          <w:p w:rsidR="001737F2" w:rsidRPr="001737F2" w:rsidRDefault="00CA5478" w:rsidP="001737F2">
            <w:pPr>
              <w:spacing w:after="0" w:line="240" w:lineRule="auto"/>
              <w:jc w:val="center"/>
              <w:rPr>
                <w:rFonts w:ascii="Verdana" w:eastAsia="Times New Roman" w:hAnsi="Verdana" w:cs="Arial"/>
                <w:color w:val="000000"/>
                <w:szCs w:val="18"/>
                <w:lang w:val="en-NZ" w:eastAsia="en-NZ"/>
              </w:rPr>
            </w:pPr>
            <w:r>
              <w:rPr>
                <w:rFonts w:ascii="Verdana" w:eastAsia="Times New Roman" w:hAnsi="Verdana" w:cs="Arial"/>
                <w:color w:val="000000"/>
                <w:szCs w:val="18"/>
                <w:lang w:val="en-NZ" w:eastAsia="en-NZ"/>
              </w:rPr>
              <w:t>84</w:t>
            </w:r>
            <w:r w:rsidR="001737F2" w:rsidRPr="001737F2">
              <w:rPr>
                <w:rFonts w:ascii="Verdana" w:eastAsia="Times New Roman" w:hAnsi="Verdana" w:cs="Arial"/>
                <w:color w:val="000000"/>
                <w:szCs w:val="18"/>
                <w:lang w:val="en-NZ" w:eastAsia="en-NZ"/>
              </w:rPr>
              <w:t>%</w:t>
            </w:r>
          </w:p>
        </w:tc>
        <w:tc>
          <w:tcPr>
            <w:tcW w:w="1360" w:type="dxa"/>
            <w:tcBorders>
              <w:top w:val="nil"/>
              <w:left w:val="nil"/>
              <w:bottom w:val="single" w:sz="8" w:space="0" w:color="86BC25"/>
              <w:right w:val="single" w:sz="8" w:space="0" w:color="86BC25"/>
            </w:tcBorders>
            <w:shd w:val="clear" w:color="auto" w:fill="auto"/>
            <w:vAlign w:val="center"/>
            <w:hideMark/>
          </w:tcPr>
          <w:p w:rsidR="001737F2" w:rsidRPr="001737F2" w:rsidRDefault="001737F2" w:rsidP="00CA5478">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9</w:t>
            </w:r>
            <w:r w:rsidR="00CA5478">
              <w:rPr>
                <w:rFonts w:ascii="Verdana" w:eastAsia="Times New Roman" w:hAnsi="Verdana" w:cs="Arial"/>
                <w:color w:val="000000"/>
                <w:szCs w:val="18"/>
                <w:lang w:val="en-NZ" w:eastAsia="en-NZ"/>
              </w:rPr>
              <w:t>9</w:t>
            </w:r>
            <w:r w:rsidRPr="001737F2">
              <w:rPr>
                <w:rFonts w:ascii="Verdana" w:eastAsia="Times New Roman" w:hAnsi="Verdana" w:cs="Arial"/>
                <w:color w:val="000000"/>
                <w:szCs w:val="18"/>
                <w:lang w:val="en-NZ" w:eastAsia="en-NZ"/>
              </w:rPr>
              <w:t>%</w:t>
            </w:r>
          </w:p>
        </w:tc>
      </w:tr>
    </w:tbl>
    <w:p w:rsidR="001737F2" w:rsidRDefault="001737F2" w:rsidP="001737F2">
      <w:pPr>
        <w:spacing w:after="0"/>
        <w:rPr>
          <w:lang w:val="en-NZ"/>
        </w:rPr>
      </w:pPr>
    </w:p>
    <w:p w:rsidR="00E13F3D" w:rsidRPr="00DB433A" w:rsidRDefault="00C908C2" w:rsidP="0025105E">
      <w:pPr>
        <w:rPr>
          <w:lang w:val="en-NZ"/>
        </w:rPr>
      </w:pPr>
      <w:r>
        <w:rPr>
          <w:lang w:val="en-NZ"/>
        </w:rPr>
        <w:t xml:space="preserve">Note the distribution of expenditure is predominantly driven by the way </w:t>
      </w:r>
      <w:r w:rsidR="006519DE">
        <w:rPr>
          <w:lang w:val="en-NZ"/>
        </w:rPr>
        <w:t>government</w:t>
      </w:r>
      <w:r>
        <w:rPr>
          <w:lang w:val="en-NZ"/>
        </w:rPr>
        <w:t xml:space="preserve"> funds, which is </w:t>
      </w:r>
      <w:r w:rsidR="00B27BA0">
        <w:rPr>
          <w:lang w:val="en-NZ"/>
        </w:rPr>
        <w:t>determined</w:t>
      </w:r>
      <w:r>
        <w:rPr>
          <w:lang w:val="en-NZ"/>
        </w:rPr>
        <w:t xml:space="preserve"> by a range of factors (see above).</w:t>
      </w:r>
    </w:p>
    <w:p w:rsidR="0025105E" w:rsidRPr="00DB433A" w:rsidRDefault="00CA6306" w:rsidP="00CA6306">
      <w:pPr>
        <w:pStyle w:val="Heading1BlueNumbered"/>
        <w:numPr>
          <w:ilvl w:val="0"/>
          <w:numId w:val="0"/>
        </w:numPr>
      </w:pPr>
      <w:r>
        <w:t>Average expenditure per student levels off at different points for different school types</w:t>
      </w:r>
    </w:p>
    <w:p w:rsidR="0025105E" w:rsidRDefault="0025105E" w:rsidP="0025105E">
      <w:pPr>
        <w:rPr>
          <w:lang w:val="en-NZ"/>
        </w:rPr>
      </w:pPr>
      <w:r w:rsidRPr="00DB433A">
        <w:rPr>
          <w:lang w:val="en-NZ"/>
        </w:rPr>
        <w:t xml:space="preserve">The average expenditure per student levels off rapidly for primary </w:t>
      </w:r>
      <w:r>
        <w:rPr>
          <w:lang w:val="en-NZ"/>
        </w:rPr>
        <w:t xml:space="preserve">and intermediate </w:t>
      </w:r>
      <w:r w:rsidRPr="00DB433A">
        <w:rPr>
          <w:lang w:val="en-NZ"/>
        </w:rPr>
        <w:t>schools with roll-sizes of around 100 students or more, with modest decline for increasing number of students thereafter. Conversely, the average expenditure per student for secondary schools only levels off from around 750 students.</w:t>
      </w:r>
    </w:p>
    <w:p w:rsidR="0025105E" w:rsidRPr="00DB433A" w:rsidRDefault="0025105E" w:rsidP="0025105E">
      <w:pPr>
        <w:rPr>
          <w:lang w:val="en-NZ"/>
        </w:rPr>
      </w:pPr>
      <w:r>
        <w:rPr>
          <w:lang w:val="en-NZ"/>
        </w:rPr>
        <w:t xml:space="preserve">It is unclear whether those patterns are indicative of different economies of scale for the different types of school because overall expenditure is driven predominantly by how </w:t>
      </w:r>
      <w:r w:rsidR="006519DE">
        <w:rPr>
          <w:lang w:val="en-NZ"/>
        </w:rPr>
        <w:t>government</w:t>
      </w:r>
      <w:r>
        <w:rPr>
          <w:lang w:val="en-NZ"/>
        </w:rPr>
        <w:t xml:space="preserve"> funds schools – i.e. the pattern simply reflects funding rather than real economies.</w:t>
      </w:r>
    </w:p>
    <w:p w:rsidR="0025105E" w:rsidRPr="00DB433A" w:rsidRDefault="0025105E" w:rsidP="0025105E">
      <w:pPr>
        <w:pStyle w:val="Heading1BlueNumbered"/>
        <w:numPr>
          <w:ilvl w:val="0"/>
          <w:numId w:val="0"/>
        </w:numPr>
        <w:ind w:left="851" w:hanging="851"/>
      </w:pPr>
      <w:r w:rsidRPr="00DB433A">
        <w:t>Teacher Aides</w:t>
      </w:r>
      <w:r w:rsidR="00020755">
        <w:t xml:space="preserve"> / teaching support roles</w:t>
      </w:r>
    </w:p>
    <w:p w:rsidR="0025105E" w:rsidRDefault="0025105E" w:rsidP="0025105E">
      <w:pPr>
        <w:rPr>
          <w:lang w:val="en-NZ"/>
        </w:rPr>
      </w:pPr>
      <w:r w:rsidRPr="00DB433A">
        <w:rPr>
          <w:lang w:val="en-NZ"/>
        </w:rPr>
        <w:t xml:space="preserve">Employing Teacher Aides is the most significant and common </w:t>
      </w:r>
      <w:r>
        <w:rPr>
          <w:lang w:val="en-NZ"/>
        </w:rPr>
        <w:t>expenditure</w:t>
      </w:r>
      <w:r w:rsidRPr="00DB433A">
        <w:rPr>
          <w:lang w:val="en-NZ"/>
        </w:rPr>
        <w:t xml:space="preserve"> s</w:t>
      </w:r>
      <w:r>
        <w:rPr>
          <w:lang w:val="en-NZ"/>
        </w:rPr>
        <w:t>c</w:t>
      </w:r>
      <w:r w:rsidRPr="00DB433A">
        <w:rPr>
          <w:lang w:val="en-NZ"/>
        </w:rPr>
        <w:t xml:space="preserve">hools make to reduce barriers to educational achievement for students. 81% of respondents to our survey identified this as a key investment, </w:t>
      </w:r>
      <w:r w:rsidRPr="00DB433A">
        <w:rPr>
          <w:lang w:val="en-NZ"/>
        </w:rPr>
        <w:lastRenderedPageBreak/>
        <w:t>compared with only 28% identifying additional teachers to reduce class sizes.</w:t>
      </w:r>
    </w:p>
    <w:p w:rsidR="00020755" w:rsidRPr="00020755" w:rsidRDefault="00020755" w:rsidP="00020755">
      <w:pPr>
        <w:rPr>
          <w:lang w:val="en-NZ"/>
        </w:rPr>
      </w:pPr>
      <w:r>
        <w:rPr>
          <w:lang w:val="en-NZ"/>
        </w:rPr>
        <w:t xml:space="preserve">Smaller schools </w:t>
      </w:r>
      <w:r w:rsidRPr="00020755">
        <w:rPr>
          <w:lang w:val="en-NZ"/>
        </w:rPr>
        <w:t>tend to employ more teach</w:t>
      </w:r>
      <w:r>
        <w:rPr>
          <w:lang w:val="en-NZ"/>
        </w:rPr>
        <w:t>ing support</w:t>
      </w:r>
      <w:r w:rsidRPr="00020755">
        <w:rPr>
          <w:lang w:val="en-NZ"/>
        </w:rPr>
        <w:t xml:space="preserve"> roles, proportionally, than larger schools. Schools with up to 120 students average 1 teacher support role per 5.1 teachers, whereas schools with more than 120 students average 1 teacher support role per 8.5 teachers.</w:t>
      </w:r>
    </w:p>
    <w:p w:rsidR="00020755" w:rsidRPr="00020755" w:rsidRDefault="00020755" w:rsidP="00020755">
      <w:pPr>
        <w:rPr>
          <w:lang w:val="en-NZ"/>
        </w:rPr>
      </w:pPr>
      <w:r w:rsidRPr="00020755">
        <w:rPr>
          <w:lang w:val="en-NZ"/>
        </w:rPr>
        <w:t>Similarly, lower decile schools tend to employ more teach</w:t>
      </w:r>
      <w:r>
        <w:rPr>
          <w:lang w:val="en-NZ"/>
        </w:rPr>
        <w:t>ing support</w:t>
      </w:r>
      <w:r w:rsidRPr="00020755">
        <w:rPr>
          <w:lang w:val="en-NZ"/>
        </w:rPr>
        <w:t xml:space="preserve"> roles, proportionally, than higher decile schools. The average number of teachers per teach</w:t>
      </w:r>
      <w:r>
        <w:rPr>
          <w:lang w:val="en-NZ"/>
        </w:rPr>
        <w:t>ing support</w:t>
      </w:r>
      <w:r w:rsidRPr="00020755">
        <w:rPr>
          <w:lang w:val="en-NZ"/>
        </w:rPr>
        <w:t xml:space="preserve"> roles</w:t>
      </w:r>
      <w:r>
        <w:rPr>
          <w:lang w:val="en-NZ"/>
        </w:rPr>
        <w:t xml:space="preserve"> is 5.15 for schools in deciles 1-2 compared with 9.50 for schools in</w:t>
      </w:r>
      <w:r w:rsidRPr="00020755">
        <w:rPr>
          <w:lang w:val="en-NZ"/>
        </w:rPr>
        <w:t xml:space="preserve"> deciles 8 to 10</w:t>
      </w:r>
      <w:r w:rsidR="00385814">
        <w:rPr>
          <w:lang w:val="en-NZ"/>
        </w:rPr>
        <w:t>.</w:t>
      </w:r>
    </w:p>
    <w:p w:rsidR="008969FF" w:rsidRPr="00DB433A" w:rsidRDefault="008969FF" w:rsidP="008969FF">
      <w:pPr>
        <w:pStyle w:val="Heading1BlueNumbered"/>
        <w:numPr>
          <w:ilvl w:val="0"/>
          <w:numId w:val="0"/>
        </w:numPr>
        <w:ind w:left="851" w:hanging="851"/>
      </w:pPr>
      <w:r w:rsidRPr="00DB433A">
        <w:t>Relieving teachers from FTTE entitlements</w:t>
      </w:r>
    </w:p>
    <w:p w:rsidR="008969FF" w:rsidRPr="00DB433A" w:rsidRDefault="008969FF" w:rsidP="008969FF">
      <w:pPr>
        <w:rPr>
          <w:lang w:val="en-NZ"/>
        </w:rPr>
      </w:pPr>
      <w:r w:rsidRPr="00DB433A">
        <w:rPr>
          <w:lang w:val="en-NZ"/>
        </w:rPr>
        <w:t>A significant number of Relievers are employed from schools’ FTTE entitlement (1,249 FTE or 46% of Relievers). Many schools that make relatively high use of Relievers use 5% or more of their FTTE entitlement on these (70% of 600 such schools).</w:t>
      </w:r>
    </w:p>
    <w:p w:rsidR="008969FF" w:rsidRPr="00020755" w:rsidRDefault="008969FF" w:rsidP="008969FF">
      <w:pPr>
        <w:rPr>
          <w:lang w:val="en-NZ"/>
        </w:rPr>
      </w:pPr>
      <w:r>
        <w:rPr>
          <w:lang w:val="en-NZ"/>
        </w:rPr>
        <w:t xml:space="preserve">Smaller schools </w:t>
      </w:r>
      <w:r w:rsidRPr="00020755">
        <w:rPr>
          <w:lang w:val="en-NZ"/>
        </w:rPr>
        <w:t>tend to employ more Relieving Teachers, proportionally, than larger schools. The average number of teachers per Relieving Teacher (on an FTE basis) is:</w:t>
      </w:r>
    </w:p>
    <w:p w:rsidR="008969FF" w:rsidRDefault="008969FF" w:rsidP="008969FF">
      <w:pPr>
        <w:pStyle w:val="ListParagraph"/>
        <w:numPr>
          <w:ilvl w:val="0"/>
          <w:numId w:val="42"/>
        </w:numPr>
        <w:rPr>
          <w:lang w:val="en-NZ"/>
        </w:rPr>
      </w:pPr>
      <w:r w:rsidRPr="00020755">
        <w:rPr>
          <w:lang w:val="en-NZ"/>
        </w:rPr>
        <w:t>14.81 teachers for schools with up to 160 students</w:t>
      </w:r>
    </w:p>
    <w:p w:rsidR="008969FF" w:rsidRDefault="008969FF" w:rsidP="008969FF">
      <w:pPr>
        <w:pStyle w:val="ListParagraph"/>
        <w:numPr>
          <w:ilvl w:val="0"/>
          <w:numId w:val="42"/>
        </w:numPr>
        <w:rPr>
          <w:lang w:val="en-NZ"/>
        </w:rPr>
      </w:pPr>
      <w:r w:rsidRPr="00020755">
        <w:rPr>
          <w:lang w:val="en-NZ"/>
        </w:rPr>
        <w:t>17.97 teachers for schools with 161 to 750 students</w:t>
      </w:r>
    </w:p>
    <w:p w:rsidR="008969FF" w:rsidRPr="00020755" w:rsidRDefault="008969FF" w:rsidP="008969FF">
      <w:pPr>
        <w:pStyle w:val="ListParagraph"/>
        <w:numPr>
          <w:ilvl w:val="0"/>
          <w:numId w:val="42"/>
        </w:numPr>
        <w:rPr>
          <w:lang w:val="en-NZ"/>
        </w:rPr>
      </w:pPr>
      <w:r w:rsidRPr="00020755">
        <w:rPr>
          <w:lang w:val="en-NZ"/>
        </w:rPr>
        <w:t>24.15 teachers for schools with more than 750 students</w:t>
      </w:r>
    </w:p>
    <w:p w:rsidR="008969FF" w:rsidRPr="00DB433A" w:rsidRDefault="008969FF" w:rsidP="008969FF">
      <w:pPr>
        <w:pStyle w:val="Heading1BlueNumbered"/>
        <w:numPr>
          <w:ilvl w:val="0"/>
          <w:numId w:val="0"/>
        </w:numPr>
        <w:ind w:left="851" w:hanging="851"/>
      </w:pPr>
      <w:r w:rsidRPr="00DB433A">
        <w:t>Employing teachers from operational grants</w:t>
      </w:r>
    </w:p>
    <w:p w:rsidR="008969FF" w:rsidRDefault="008969FF" w:rsidP="008969FF">
      <w:pPr>
        <w:rPr>
          <w:lang w:val="en-NZ"/>
        </w:rPr>
      </w:pPr>
      <w:r>
        <w:rPr>
          <w:lang w:val="en-NZ"/>
        </w:rPr>
        <w:t>Operational grants give schools flexibility in how to use funding, with the expectation that some of this might be spent on teachers (e.g. TFEA, SEG, Maori Language funding). The operational grant also includes specific funding for relieving teachers.</w:t>
      </w:r>
    </w:p>
    <w:p w:rsidR="008969FF" w:rsidRPr="00DB433A" w:rsidRDefault="008969FF" w:rsidP="008969FF">
      <w:pPr>
        <w:rPr>
          <w:lang w:val="en-NZ"/>
        </w:rPr>
      </w:pPr>
      <w:r w:rsidRPr="00DB433A">
        <w:rPr>
          <w:lang w:val="en-NZ"/>
        </w:rPr>
        <w:t xml:space="preserve">The majority of schools employ more teachers </w:t>
      </w:r>
      <w:r>
        <w:rPr>
          <w:lang w:val="en-NZ"/>
        </w:rPr>
        <w:t>(</w:t>
      </w:r>
      <w:r w:rsidR="008111FD">
        <w:rPr>
          <w:lang w:val="en-NZ"/>
        </w:rPr>
        <w:t>R</w:t>
      </w:r>
      <w:r>
        <w:rPr>
          <w:lang w:val="en-NZ"/>
        </w:rPr>
        <w:t xml:space="preserve">egular </w:t>
      </w:r>
      <w:r w:rsidR="008111FD">
        <w:rPr>
          <w:lang w:val="en-NZ"/>
        </w:rPr>
        <w:t xml:space="preserve">Teachers </w:t>
      </w:r>
      <w:r>
        <w:rPr>
          <w:lang w:val="en-NZ"/>
        </w:rPr>
        <w:t xml:space="preserve">as well as </w:t>
      </w:r>
      <w:r w:rsidR="008111FD">
        <w:rPr>
          <w:lang w:val="en-NZ"/>
        </w:rPr>
        <w:t>R</w:t>
      </w:r>
      <w:r>
        <w:rPr>
          <w:lang w:val="en-NZ"/>
        </w:rPr>
        <w:t xml:space="preserve">elievers) </w:t>
      </w:r>
      <w:r w:rsidRPr="00DB433A">
        <w:rPr>
          <w:lang w:val="en-NZ"/>
        </w:rPr>
        <w:t>than the</w:t>
      </w:r>
      <w:r>
        <w:rPr>
          <w:lang w:val="en-NZ"/>
        </w:rPr>
        <w:t>ir FTTE entitlements.</w:t>
      </w:r>
      <w:r w:rsidRPr="00DB433A">
        <w:rPr>
          <w:lang w:val="en-NZ"/>
        </w:rPr>
        <w:t xml:space="preserve"> Lower decile schools tend to employ a greater proportion of their teachers from bulk grants than higher decile schools, but this is a relatively small difference.</w:t>
      </w:r>
    </w:p>
    <w:p w:rsidR="008969FF" w:rsidRDefault="008969FF" w:rsidP="008969FF">
      <w:pPr>
        <w:rPr>
          <w:lang w:val="en-NZ"/>
        </w:rPr>
      </w:pPr>
      <w:r w:rsidRPr="00DB433A">
        <w:rPr>
          <w:lang w:val="en-NZ"/>
        </w:rPr>
        <w:t>O</w:t>
      </w:r>
      <w:r>
        <w:rPr>
          <w:lang w:val="en-NZ"/>
        </w:rPr>
        <w:t>verall</w:t>
      </w:r>
      <w:r w:rsidRPr="00DB433A">
        <w:rPr>
          <w:lang w:val="en-NZ"/>
        </w:rPr>
        <w:t xml:space="preserve">, schools </w:t>
      </w:r>
      <w:r>
        <w:rPr>
          <w:lang w:val="en-NZ"/>
        </w:rPr>
        <w:t>employ 4.8</w:t>
      </w:r>
      <w:r w:rsidRPr="00DB433A">
        <w:rPr>
          <w:lang w:val="en-NZ"/>
        </w:rPr>
        <w:t xml:space="preserve">% </w:t>
      </w:r>
      <w:r>
        <w:rPr>
          <w:lang w:val="en-NZ"/>
        </w:rPr>
        <w:t xml:space="preserve">of </w:t>
      </w:r>
      <w:r w:rsidR="00276320">
        <w:rPr>
          <w:lang w:val="en-NZ"/>
        </w:rPr>
        <w:t>R</w:t>
      </w:r>
      <w:r>
        <w:rPr>
          <w:lang w:val="en-NZ"/>
        </w:rPr>
        <w:t xml:space="preserve">egular </w:t>
      </w:r>
      <w:r w:rsidR="00276320">
        <w:rPr>
          <w:lang w:val="en-NZ"/>
        </w:rPr>
        <w:t>T</w:t>
      </w:r>
      <w:r>
        <w:rPr>
          <w:lang w:val="en-NZ"/>
        </w:rPr>
        <w:t xml:space="preserve">eachers from bulk grants (2,209 FTE). Netting off the number of </w:t>
      </w:r>
      <w:r w:rsidR="008111FD">
        <w:rPr>
          <w:lang w:val="en-NZ"/>
        </w:rPr>
        <w:t>R</w:t>
      </w:r>
      <w:r>
        <w:rPr>
          <w:lang w:val="en-NZ"/>
        </w:rPr>
        <w:t xml:space="preserve">elievers employed through FTTE entitlement would reduce this to </w:t>
      </w:r>
      <w:r w:rsidR="00DC63EE">
        <w:rPr>
          <w:lang w:val="en-NZ"/>
        </w:rPr>
        <w:t>2.1</w:t>
      </w:r>
      <w:r>
        <w:rPr>
          <w:lang w:val="en-NZ"/>
        </w:rPr>
        <w:t xml:space="preserve">% of </w:t>
      </w:r>
      <w:r w:rsidR="00276320">
        <w:rPr>
          <w:lang w:val="en-NZ"/>
        </w:rPr>
        <w:t>R</w:t>
      </w:r>
      <w:r>
        <w:rPr>
          <w:lang w:val="en-NZ"/>
        </w:rPr>
        <w:t xml:space="preserve">egular </w:t>
      </w:r>
      <w:r w:rsidR="00276320">
        <w:rPr>
          <w:lang w:val="en-NZ"/>
        </w:rPr>
        <w:t>T</w:t>
      </w:r>
      <w:r>
        <w:rPr>
          <w:lang w:val="en-NZ"/>
        </w:rPr>
        <w:t>eachers (</w:t>
      </w:r>
      <w:r w:rsidR="00DC63EE">
        <w:rPr>
          <w:lang w:val="en-NZ"/>
        </w:rPr>
        <w:t>959</w:t>
      </w:r>
      <w:r>
        <w:rPr>
          <w:lang w:val="en-NZ"/>
        </w:rPr>
        <w:t xml:space="preserve"> FTE).</w:t>
      </w:r>
    </w:p>
    <w:p w:rsidR="00CB78A3" w:rsidRPr="00DB433A" w:rsidRDefault="00CB78A3" w:rsidP="00CB78A3">
      <w:pPr>
        <w:pStyle w:val="Sectionintro"/>
        <w:rPr>
          <w:lang w:val="en-NZ"/>
        </w:rPr>
      </w:pPr>
      <w:r w:rsidRPr="00DB433A">
        <w:rPr>
          <w:lang w:val="en-NZ"/>
        </w:rPr>
        <w:t>Acknowledgments</w:t>
      </w:r>
    </w:p>
    <w:p w:rsidR="00CB78A3" w:rsidRPr="00DB433A" w:rsidRDefault="00CB78A3" w:rsidP="009C7BB6">
      <w:pPr>
        <w:rPr>
          <w:lang w:val="en-NZ"/>
        </w:rPr>
      </w:pPr>
      <w:r w:rsidRPr="00DB433A">
        <w:rPr>
          <w:lang w:val="en-NZ"/>
        </w:rPr>
        <w:t>We would like to acknowledge the support we have had from the Advisory Group for the Review of the Education Funding Systems, who have provided valuable input into the nature of our analysis and actively sought out schools to participate in the research.</w:t>
      </w:r>
    </w:p>
    <w:p w:rsidR="00CB78A3" w:rsidRPr="00DB433A" w:rsidRDefault="00D616D5" w:rsidP="009C7BB6">
      <w:pPr>
        <w:rPr>
          <w:lang w:val="en-NZ"/>
        </w:rPr>
      </w:pPr>
      <w:r w:rsidRPr="00DB433A">
        <w:rPr>
          <w:lang w:val="en-NZ"/>
        </w:rPr>
        <w:t>We are very grateful for the time and effort individual school principals and staff have put into participating in the research, completing survey templates and making the time to talk with us.</w:t>
      </w:r>
    </w:p>
    <w:p w:rsidR="00D616D5" w:rsidRDefault="008B456A" w:rsidP="009C7BB6">
      <w:pPr>
        <w:rPr>
          <w:lang w:val="en-NZ"/>
        </w:rPr>
      </w:pPr>
      <w:r w:rsidRPr="00DB433A">
        <w:rPr>
          <w:lang w:val="en-NZ"/>
        </w:rPr>
        <w:t>We have also had the support of the Ministry’s teams, sourcing information and helping us interpret it.</w:t>
      </w:r>
    </w:p>
    <w:p w:rsidR="00243A4F" w:rsidRPr="00DB433A" w:rsidRDefault="00243A4F" w:rsidP="00243A4F">
      <w:pPr>
        <w:pStyle w:val="Sectiontitle"/>
        <w:rPr>
          <w:lang w:val="en-NZ"/>
        </w:rPr>
      </w:pPr>
      <w:bookmarkStart w:id="3" w:name="_Toc463604445"/>
      <w:r w:rsidRPr="00DB433A">
        <w:rPr>
          <w:lang w:val="en-NZ"/>
        </w:rPr>
        <w:lastRenderedPageBreak/>
        <w:t>Approach</w:t>
      </w:r>
      <w:bookmarkEnd w:id="3"/>
    </w:p>
    <w:p w:rsidR="004F24DE" w:rsidRPr="00DB433A" w:rsidRDefault="004F24DE" w:rsidP="004F24DE">
      <w:pPr>
        <w:pStyle w:val="Sectionintro"/>
        <w:rPr>
          <w:lang w:val="en-NZ"/>
        </w:rPr>
      </w:pPr>
      <w:r w:rsidRPr="00DB433A">
        <w:rPr>
          <w:lang w:val="en-NZ"/>
        </w:rPr>
        <w:t>Summary</w:t>
      </w:r>
    </w:p>
    <w:p w:rsidR="004F24DE" w:rsidRPr="00DB433A" w:rsidRDefault="004F24DE" w:rsidP="004F24DE">
      <w:pPr>
        <w:rPr>
          <w:lang w:val="en-NZ"/>
        </w:rPr>
      </w:pPr>
      <w:r w:rsidRPr="00DB433A">
        <w:rPr>
          <w:lang w:val="en-NZ"/>
        </w:rPr>
        <w:t>For this report, we have:</w:t>
      </w:r>
    </w:p>
    <w:p w:rsidR="004F24DE" w:rsidRPr="00DB433A" w:rsidRDefault="004F24DE" w:rsidP="004F24DE">
      <w:pPr>
        <w:pStyle w:val="ListParagraph"/>
        <w:numPr>
          <w:ilvl w:val="0"/>
          <w:numId w:val="30"/>
        </w:numPr>
        <w:rPr>
          <w:lang w:val="en-NZ"/>
        </w:rPr>
      </w:pPr>
      <w:r w:rsidRPr="00DB433A">
        <w:rPr>
          <w:lang w:val="en-NZ"/>
        </w:rPr>
        <w:t>Compiled data sets of schools’ financial information</w:t>
      </w:r>
    </w:p>
    <w:p w:rsidR="004F24DE" w:rsidRPr="00DB433A" w:rsidRDefault="004F24DE" w:rsidP="004F24DE">
      <w:pPr>
        <w:pStyle w:val="ListParagraph"/>
        <w:numPr>
          <w:ilvl w:val="0"/>
          <w:numId w:val="30"/>
        </w:numPr>
        <w:rPr>
          <w:lang w:val="en-NZ"/>
        </w:rPr>
      </w:pPr>
      <w:r w:rsidRPr="00DB433A">
        <w:rPr>
          <w:lang w:val="en-NZ"/>
        </w:rPr>
        <w:t>Compiled data sets of schools’ payroll information</w:t>
      </w:r>
    </w:p>
    <w:p w:rsidR="004F24DE" w:rsidRPr="00DB433A" w:rsidRDefault="004F24DE" w:rsidP="004F24DE">
      <w:pPr>
        <w:pStyle w:val="ListParagraph"/>
        <w:numPr>
          <w:ilvl w:val="0"/>
          <w:numId w:val="30"/>
        </w:numPr>
        <w:rPr>
          <w:lang w:val="en-NZ"/>
        </w:rPr>
      </w:pPr>
      <w:r w:rsidRPr="00DB433A">
        <w:rPr>
          <w:lang w:val="en-NZ"/>
        </w:rPr>
        <w:t>Conducted a survey across schools</w:t>
      </w:r>
      <w:r w:rsidR="00D00946">
        <w:rPr>
          <w:lang w:val="en-NZ"/>
        </w:rPr>
        <w:t xml:space="preserve"> (53 respondents)</w:t>
      </w:r>
    </w:p>
    <w:p w:rsidR="004F24DE" w:rsidRPr="00DB433A" w:rsidRDefault="004F24DE" w:rsidP="004F24DE">
      <w:pPr>
        <w:pStyle w:val="ListParagraph"/>
        <w:numPr>
          <w:ilvl w:val="0"/>
          <w:numId w:val="30"/>
        </w:numPr>
        <w:rPr>
          <w:lang w:val="en-NZ"/>
        </w:rPr>
      </w:pPr>
      <w:r w:rsidRPr="00DB433A">
        <w:rPr>
          <w:lang w:val="en-NZ"/>
        </w:rPr>
        <w:t>Conducted follow up interviews with schools</w:t>
      </w:r>
      <w:r w:rsidR="00D00946">
        <w:rPr>
          <w:lang w:val="en-NZ"/>
        </w:rPr>
        <w:t xml:space="preserve"> (17 schools)</w:t>
      </w:r>
    </w:p>
    <w:p w:rsidR="004F24DE" w:rsidRPr="00DB433A" w:rsidRDefault="004F24DE" w:rsidP="004F24DE">
      <w:pPr>
        <w:rPr>
          <w:lang w:val="en-NZ"/>
        </w:rPr>
      </w:pPr>
      <w:r w:rsidRPr="00DB433A">
        <w:rPr>
          <w:lang w:val="en-NZ"/>
        </w:rPr>
        <w:t>The Advisory Group identified schools to be involved in the survey, and in selecting this sample, as well as for the interviews, we were mindful of representing the diverse range of different school types.</w:t>
      </w:r>
    </w:p>
    <w:p w:rsidR="004F24DE" w:rsidRPr="00DB433A" w:rsidRDefault="004F24DE" w:rsidP="004F24DE">
      <w:pPr>
        <w:rPr>
          <w:lang w:val="en-NZ"/>
        </w:rPr>
      </w:pPr>
      <w:r w:rsidRPr="00DB433A">
        <w:rPr>
          <w:lang w:val="en-NZ"/>
        </w:rPr>
        <w:t>The survey was completed over the course of 2-3 weeks by most schools, and the interview phase covered a further 2-3 weeks. The project and this report were completed over an 8-week period.</w:t>
      </w:r>
    </w:p>
    <w:p w:rsidR="004F24DE" w:rsidRPr="00DB433A" w:rsidRDefault="004F24DE" w:rsidP="004F24DE">
      <w:pPr>
        <w:rPr>
          <w:lang w:val="en-NZ"/>
        </w:rPr>
      </w:pPr>
      <w:r w:rsidRPr="00DB433A">
        <w:rPr>
          <w:lang w:val="en-NZ"/>
        </w:rPr>
        <w:t>As such, the analysis presented in this report has been constrained by time and information availability</w:t>
      </w:r>
      <w:r w:rsidR="001C46E1">
        <w:rPr>
          <w:lang w:val="en-NZ"/>
        </w:rPr>
        <w:t>, and should be considered indicative</w:t>
      </w:r>
      <w:r w:rsidRPr="00DB433A">
        <w:rPr>
          <w:lang w:val="en-NZ"/>
        </w:rPr>
        <w:t>. We have included a section in the report with our thoughts on what might be considered for further research.</w:t>
      </w:r>
    </w:p>
    <w:p w:rsidR="004F24DE" w:rsidRPr="00DB433A" w:rsidRDefault="004F24DE" w:rsidP="004F24DE">
      <w:pPr>
        <w:pStyle w:val="Sectionintro"/>
        <w:rPr>
          <w:lang w:val="en-NZ"/>
        </w:rPr>
      </w:pPr>
      <w:r w:rsidRPr="00DB433A">
        <w:rPr>
          <w:lang w:val="en-NZ"/>
        </w:rPr>
        <w:t>About the information sources we have used</w:t>
      </w:r>
    </w:p>
    <w:p w:rsidR="004F24DE" w:rsidRPr="00DB433A" w:rsidRDefault="004F24DE" w:rsidP="004F24DE">
      <w:pPr>
        <w:pStyle w:val="Heading1BlueNumbered"/>
        <w:numPr>
          <w:ilvl w:val="0"/>
          <w:numId w:val="0"/>
        </w:numPr>
        <w:ind w:left="851" w:hanging="851"/>
      </w:pPr>
      <w:r w:rsidRPr="00DB433A">
        <w:t>Base data about schools</w:t>
      </w:r>
    </w:p>
    <w:p w:rsidR="004F24DE" w:rsidRPr="00DB433A" w:rsidRDefault="004F24DE" w:rsidP="004F24DE">
      <w:pPr>
        <w:rPr>
          <w:lang w:val="en-NZ"/>
        </w:rPr>
      </w:pPr>
      <w:r w:rsidRPr="00DB433A">
        <w:rPr>
          <w:lang w:val="en-NZ"/>
        </w:rPr>
        <w:t>We used the EducationCounts 2015 Schools Directory, which is a publicly available dataset that lists New Zealand schools and characteristics, including decile, school type, and roll size. This information was used to prepare segment-based analysis of various data – e.g. by decile or school size groupings.</w:t>
      </w:r>
      <w:r w:rsidR="005C1CE6" w:rsidRPr="00DB433A">
        <w:rPr>
          <w:lang w:val="en-NZ"/>
        </w:rPr>
        <w:t xml:space="preserve"> All analysis in this report is based on the 2015 </w:t>
      </w:r>
      <w:r w:rsidR="008722EC">
        <w:rPr>
          <w:lang w:val="en-NZ"/>
        </w:rPr>
        <w:t xml:space="preserve">school </w:t>
      </w:r>
      <w:r w:rsidR="005C1CE6" w:rsidRPr="00DB433A">
        <w:rPr>
          <w:lang w:val="en-NZ"/>
        </w:rPr>
        <w:t>year.</w:t>
      </w:r>
    </w:p>
    <w:p w:rsidR="004F24DE" w:rsidRPr="00DB433A" w:rsidRDefault="004F24DE" w:rsidP="004F24DE">
      <w:pPr>
        <w:pStyle w:val="Heading1BlueNumbered"/>
        <w:numPr>
          <w:ilvl w:val="0"/>
          <w:numId w:val="0"/>
        </w:numPr>
        <w:ind w:left="851" w:hanging="851"/>
      </w:pPr>
      <w:r w:rsidRPr="00DB433A">
        <w:t>Financial information</w:t>
      </w:r>
    </w:p>
    <w:p w:rsidR="004F24DE" w:rsidRPr="00DB433A" w:rsidRDefault="004F24DE" w:rsidP="004F24DE">
      <w:pPr>
        <w:rPr>
          <w:lang w:val="en-NZ"/>
        </w:rPr>
      </w:pPr>
      <w:r w:rsidRPr="00DB433A">
        <w:rPr>
          <w:lang w:val="en-NZ"/>
        </w:rPr>
        <w:t>Most schools provide annual reports of their financial information to the Ministry. The “Kiwi Park” model financial statements are a relatively recent development, and this is making schools’ financial information more consistent.</w:t>
      </w:r>
    </w:p>
    <w:p w:rsidR="004F24DE" w:rsidRPr="00DB433A" w:rsidRDefault="004F24DE" w:rsidP="004F24DE">
      <w:pPr>
        <w:rPr>
          <w:lang w:val="en-NZ"/>
        </w:rPr>
      </w:pPr>
      <w:r w:rsidRPr="00DB433A">
        <w:rPr>
          <w:lang w:val="en-NZ"/>
        </w:rPr>
        <w:t xml:space="preserve">We extracted the financial information for over 2,100 schools from the Ministry’s consolidated data set – </w:t>
      </w:r>
      <w:r w:rsidRPr="00DB433A">
        <w:rPr>
          <w:b/>
          <w:lang w:val="en-NZ"/>
        </w:rPr>
        <w:t>FIDS</w:t>
      </w:r>
      <w:r w:rsidRPr="00DB433A">
        <w:rPr>
          <w:lang w:val="en-NZ"/>
        </w:rPr>
        <w:t xml:space="preserve"> (Financial Information Database for Schools). This includes:</w:t>
      </w:r>
    </w:p>
    <w:p w:rsidR="004F24DE" w:rsidRPr="00DB433A" w:rsidRDefault="004F24DE" w:rsidP="004F24DE">
      <w:pPr>
        <w:pStyle w:val="ListParagraph"/>
        <w:numPr>
          <w:ilvl w:val="0"/>
          <w:numId w:val="31"/>
        </w:numPr>
        <w:rPr>
          <w:lang w:val="en-NZ"/>
        </w:rPr>
      </w:pPr>
      <w:r w:rsidRPr="00DB433A">
        <w:rPr>
          <w:lang w:val="en-NZ"/>
        </w:rPr>
        <w:t>Profit and loss</w:t>
      </w:r>
    </w:p>
    <w:p w:rsidR="004F24DE" w:rsidRPr="00DB433A" w:rsidRDefault="004F24DE" w:rsidP="004F24DE">
      <w:pPr>
        <w:pStyle w:val="ListParagraph"/>
        <w:numPr>
          <w:ilvl w:val="0"/>
          <w:numId w:val="31"/>
        </w:numPr>
        <w:rPr>
          <w:lang w:val="en-NZ"/>
        </w:rPr>
      </w:pPr>
      <w:r w:rsidRPr="00DB433A">
        <w:rPr>
          <w:lang w:val="en-NZ"/>
        </w:rPr>
        <w:t>Balance sheet</w:t>
      </w:r>
    </w:p>
    <w:p w:rsidR="004F24DE" w:rsidRPr="00DB433A" w:rsidRDefault="004F24DE" w:rsidP="004F24DE">
      <w:pPr>
        <w:pStyle w:val="ListParagraph"/>
        <w:numPr>
          <w:ilvl w:val="0"/>
          <w:numId w:val="31"/>
        </w:numPr>
        <w:rPr>
          <w:lang w:val="en-NZ"/>
        </w:rPr>
      </w:pPr>
      <w:r w:rsidRPr="00DB433A">
        <w:rPr>
          <w:lang w:val="en-NZ"/>
        </w:rPr>
        <w:t>Cash flow statement</w:t>
      </w:r>
    </w:p>
    <w:p w:rsidR="004F24DE" w:rsidRPr="00DB433A" w:rsidRDefault="004F24DE" w:rsidP="004F24DE">
      <w:pPr>
        <w:rPr>
          <w:lang w:val="en-NZ"/>
        </w:rPr>
      </w:pPr>
      <w:r w:rsidRPr="00DB433A">
        <w:rPr>
          <w:lang w:val="en-NZ"/>
        </w:rPr>
        <w:t>The information was for the 2015 year, although in a small number of cases we used 2014 data where 2015 was not available.</w:t>
      </w:r>
    </w:p>
    <w:p w:rsidR="004F24DE" w:rsidRPr="00DB433A" w:rsidRDefault="004F24DE" w:rsidP="004F24DE">
      <w:pPr>
        <w:rPr>
          <w:lang w:val="en-NZ"/>
        </w:rPr>
      </w:pPr>
      <w:r w:rsidRPr="00DB433A">
        <w:rPr>
          <w:lang w:val="en-NZ"/>
        </w:rPr>
        <w:t xml:space="preserve">The FIDS information shows the funding sources and expenditure areas schools have reported for accounting purposes. While consistency is </w:t>
      </w:r>
      <w:r w:rsidRPr="00DB433A">
        <w:rPr>
          <w:lang w:val="en-NZ"/>
        </w:rPr>
        <w:lastRenderedPageBreak/>
        <w:t>improving, we note that schools do not always treat similar revenues and expenses in the same way.</w:t>
      </w:r>
    </w:p>
    <w:p w:rsidR="00227B37" w:rsidRPr="00DB433A" w:rsidRDefault="00227B37" w:rsidP="004F24DE">
      <w:pPr>
        <w:rPr>
          <w:lang w:val="en-NZ"/>
        </w:rPr>
      </w:pPr>
      <w:r w:rsidRPr="00DB433A">
        <w:rPr>
          <w:lang w:val="en-NZ"/>
        </w:rPr>
        <w:t xml:space="preserve">We also obtained a detailed breakdown of the Operations Grant the Ministry paid to each school in 2015. </w:t>
      </w:r>
      <w:r w:rsidR="00407A32" w:rsidRPr="00DB433A">
        <w:rPr>
          <w:lang w:val="en-NZ"/>
        </w:rPr>
        <w:t xml:space="preserve">The Operations Grant has </w:t>
      </w:r>
      <w:r w:rsidR="008722EC">
        <w:rPr>
          <w:lang w:val="en-NZ"/>
        </w:rPr>
        <w:t>a number of</w:t>
      </w:r>
      <w:r w:rsidR="00407A32" w:rsidRPr="00DB433A">
        <w:rPr>
          <w:lang w:val="en-NZ"/>
        </w:rPr>
        <w:t xml:space="preserve"> different components, e.g. Targeted Funding for Educational Achievement (TFEA) and funding for Relieving Teachers.</w:t>
      </w:r>
    </w:p>
    <w:p w:rsidR="004F24DE" w:rsidRPr="00DB433A" w:rsidRDefault="004F24DE" w:rsidP="004F24DE">
      <w:pPr>
        <w:pStyle w:val="Heading1BlueNumbered"/>
        <w:numPr>
          <w:ilvl w:val="0"/>
          <w:numId w:val="0"/>
        </w:numPr>
        <w:ind w:left="851" w:hanging="851"/>
      </w:pPr>
      <w:r w:rsidRPr="00DB433A">
        <w:t>Payroll information</w:t>
      </w:r>
    </w:p>
    <w:p w:rsidR="00750B8C" w:rsidRPr="00DB433A" w:rsidRDefault="00750B8C" w:rsidP="00750B8C">
      <w:pPr>
        <w:rPr>
          <w:lang w:val="en-NZ"/>
        </w:rPr>
      </w:pPr>
      <w:r>
        <w:rPr>
          <w:lang w:val="en-NZ"/>
        </w:rPr>
        <w:t>T</w:t>
      </w:r>
      <w:r w:rsidR="00BB6DE6" w:rsidRPr="00DB433A">
        <w:rPr>
          <w:lang w:val="en-NZ"/>
        </w:rPr>
        <w:t>he schools’ payroll system provided by Education Payroll Ltd as a service</w:t>
      </w:r>
      <w:r>
        <w:rPr>
          <w:lang w:val="en-NZ"/>
        </w:rPr>
        <w:t xml:space="preserve"> is used by all schools and is used to pay all teachers.</w:t>
      </w:r>
    </w:p>
    <w:p w:rsidR="00BB6DE6" w:rsidRPr="00DB433A" w:rsidRDefault="00BB6DE6" w:rsidP="00BB6DE6">
      <w:pPr>
        <w:rPr>
          <w:lang w:val="en-NZ"/>
        </w:rPr>
      </w:pPr>
      <w:r w:rsidRPr="00DB433A">
        <w:rPr>
          <w:lang w:val="en-NZ"/>
        </w:rPr>
        <w:t xml:space="preserve">We extracted transactional data for the 2015 calendar year for more than 2,400 </w:t>
      </w:r>
      <w:r w:rsidR="002D2084" w:rsidRPr="00DB433A">
        <w:rPr>
          <w:lang w:val="en-NZ"/>
        </w:rPr>
        <w:t>schools</w:t>
      </w:r>
      <w:r w:rsidRPr="00DB433A">
        <w:rPr>
          <w:lang w:val="en-NZ"/>
        </w:rPr>
        <w:t xml:space="preserve">. Note this transactional data will not </w:t>
      </w:r>
      <w:r w:rsidR="002D2084" w:rsidRPr="00DB433A">
        <w:rPr>
          <w:lang w:val="en-NZ"/>
        </w:rPr>
        <w:t>match</w:t>
      </w:r>
      <w:r w:rsidRPr="00DB433A">
        <w:rPr>
          <w:lang w:val="en-NZ"/>
        </w:rPr>
        <w:t xml:space="preserve"> the 2015 annual financial reporting information exactly due to timing differences.</w:t>
      </w:r>
    </w:p>
    <w:p w:rsidR="00BB6DE6" w:rsidRPr="00DB433A" w:rsidRDefault="00BB6DE6" w:rsidP="00BB6DE6">
      <w:pPr>
        <w:rPr>
          <w:lang w:val="en-NZ"/>
        </w:rPr>
      </w:pPr>
      <w:r w:rsidRPr="00DB433A">
        <w:rPr>
          <w:lang w:val="en-NZ"/>
        </w:rPr>
        <w:t>The data provides:</w:t>
      </w:r>
    </w:p>
    <w:p w:rsidR="00BB6DE6" w:rsidRPr="00DB433A" w:rsidRDefault="00BB6DE6" w:rsidP="00BB6DE6">
      <w:pPr>
        <w:pStyle w:val="ListParagraph"/>
        <w:numPr>
          <w:ilvl w:val="0"/>
          <w:numId w:val="32"/>
        </w:numPr>
        <w:rPr>
          <w:lang w:val="en-NZ"/>
        </w:rPr>
      </w:pPr>
      <w:r w:rsidRPr="00DB433A">
        <w:rPr>
          <w:lang w:val="en-NZ"/>
        </w:rPr>
        <w:t>E</w:t>
      </w:r>
      <w:r w:rsidR="00C90E4C" w:rsidRPr="00DB433A">
        <w:rPr>
          <w:lang w:val="en-NZ"/>
        </w:rPr>
        <w:t>mployee id numbers</w:t>
      </w:r>
      <w:r w:rsidRPr="00DB433A">
        <w:rPr>
          <w:lang w:val="en-NZ"/>
        </w:rPr>
        <w:t>, their designations and the type of contract they are on</w:t>
      </w:r>
    </w:p>
    <w:p w:rsidR="00BB6DE6" w:rsidRPr="00DB433A" w:rsidRDefault="00BB6DE6" w:rsidP="00BB6DE6">
      <w:pPr>
        <w:pStyle w:val="ListParagraph"/>
        <w:numPr>
          <w:ilvl w:val="0"/>
          <w:numId w:val="32"/>
        </w:numPr>
        <w:rPr>
          <w:lang w:val="en-NZ"/>
        </w:rPr>
      </w:pPr>
      <w:r w:rsidRPr="00DB433A">
        <w:rPr>
          <w:lang w:val="en-NZ"/>
        </w:rPr>
        <w:t>FTE (full-time equivalent)</w:t>
      </w:r>
    </w:p>
    <w:p w:rsidR="00BB6DE6" w:rsidRPr="00DB433A" w:rsidRDefault="00BB6DE6" w:rsidP="00BB6DE6">
      <w:pPr>
        <w:pStyle w:val="ListParagraph"/>
        <w:numPr>
          <w:ilvl w:val="0"/>
          <w:numId w:val="32"/>
        </w:numPr>
        <w:rPr>
          <w:lang w:val="en-NZ"/>
        </w:rPr>
      </w:pPr>
      <w:r w:rsidRPr="00DB433A">
        <w:rPr>
          <w:lang w:val="en-NZ"/>
        </w:rPr>
        <w:t>Funding source</w:t>
      </w:r>
    </w:p>
    <w:p w:rsidR="00BB6DE6" w:rsidRPr="00DB433A" w:rsidRDefault="00BB6DE6" w:rsidP="00BB6DE6">
      <w:pPr>
        <w:rPr>
          <w:lang w:val="en-NZ"/>
        </w:rPr>
      </w:pPr>
      <w:r w:rsidRPr="00DB433A">
        <w:rPr>
          <w:lang w:val="en-NZ"/>
        </w:rPr>
        <w:t>The funding sources are:</w:t>
      </w:r>
    </w:p>
    <w:p w:rsidR="00BB6DE6" w:rsidRPr="00DB433A" w:rsidRDefault="00BB6DE6" w:rsidP="00BB6DE6">
      <w:pPr>
        <w:pStyle w:val="ListParagraph"/>
        <w:numPr>
          <w:ilvl w:val="0"/>
          <w:numId w:val="24"/>
        </w:numPr>
        <w:rPr>
          <w:lang w:val="en-NZ"/>
        </w:rPr>
      </w:pPr>
      <w:r w:rsidRPr="00DB433A">
        <w:rPr>
          <w:lang w:val="en-NZ"/>
        </w:rPr>
        <w:t>Teacher FTTE Entitlement, which is the allowance for teachers the Ministry calculates for each school on an FTTE basis and pays for directly</w:t>
      </w:r>
    </w:p>
    <w:p w:rsidR="00BB6DE6" w:rsidRPr="00DB433A" w:rsidRDefault="00BB6DE6" w:rsidP="00BB6DE6">
      <w:pPr>
        <w:pStyle w:val="ListParagraph"/>
        <w:numPr>
          <w:ilvl w:val="0"/>
          <w:numId w:val="24"/>
        </w:numPr>
        <w:rPr>
          <w:lang w:val="en-NZ"/>
        </w:rPr>
      </w:pPr>
      <w:r w:rsidRPr="00DB433A">
        <w:rPr>
          <w:lang w:val="en-NZ"/>
        </w:rPr>
        <w:t>Bulk Grant, which is paid directly from schools’ other funding sources such as the Operational Grant</w:t>
      </w:r>
    </w:p>
    <w:p w:rsidR="00BB6DE6" w:rsidRPr="00DB433A" w:rsidRDefault="00BB6DE6" w:rsidP="00BB6DE6">
      <w:pPr>
        <w:pStyle w:val="ListParagraph"/>
        <w:numPr>
          <w:ilvl w:val="0"/>
          <w:numId w:val="24"/>
        </w:numPr>
        <w:rPr>
          <w:lang w:val="en-NZ"/>
        </w:rPr>
      </w:pPr>
      <w:r w:rsidRPr="00DB433A">
        <w:rPr>
          <w:lang w:val="en-NZ"/>
        </w:rPr>
        <w:t>Other, which comprises a set of other specific funding sources (e.g. MQ National Study Award) included for completeness only in this analysis</w:t>
      </w:r>
    </w:p>
    <w:p w:rsidR="004F24DE" w:rsidRPr="00DB433A" w:rsidRDefault="00BB6DE6" w:rsidP="004F24DE">
      <w:pPr>
        <w:rPr>
          <w:lang w:val="en-NZ"/>
        </w:rPr>
      </w:pPr>
      <w:r w:rsidRPr="00DB433A">
        <w:rPr>
          <w:lang w:val="en-NZ"/>
        </w:rPr>
        <w:t>The “Other” category above is very small, including only 0.4% of teaching-related staff, and has largely been excluded from consideration in our analysis.</w:t>
      </w:r>
    </w:p>
    <w:p w:rsidR="00BB6DE6" w:rsidRPr="00DB433A" w:rsidRDefault="00E423A7" w:rsidP="004F24DE">
      <w:pPr>
        <w:rPr>
          <w:lang w:val="en-NZ"/>
        </w:rPr>
      </w:pPr>
      <w:r w:rsidRPr="00DB433A">
        <w:rPr>
          <w:lang w:val="en-NZ"/>
        </w:rPr>
        <w:t>We used this information to analyse use of staff across schools with a focus on teaching-related staff.</w:t>
      </w:r>
      <w:r w:rsidR="00C90E4C" w:rsidRPr="00DB433A">
        <w:rPr>
          <w:lang w:val="en-NZ"/>
        </w:rPr>
        <w:t xml:space="preserve"> Because our focus was on what staff do, we have used designations and tenure (rather than contracts) to identify the various types of </w:t>
      </w:r>
      <w:r w:rsidR="003D7CD2" w:rsidRPr="00DB433A">
        <w:rPr>
          <w:lang w:val="en-NZ"/>
        </w:rPr>
        <w:t xml:space="preserve">teaching-related </w:t>
      </w:r>
      <w:r w:rsidR="00C90E4C" w:rsidRPr="00DB433A">
        <w:rPr>
          <w:lang w:val="en-NZ"/>
        </w:rPr>
        <w:t>role.</w:t>
      </w:r>
    </w:p>
    <w:p w:rsidR="00334490" w:rsidRPr="00DB433A" w:rsidRDefault="00334490" w:rsidP="00334490">
      <w:pPr>
        <w:pStyle w:val="Heading1BlueNumbered"/>
        <w:numPr>
          <w:ilvl w:val="0"/>
          <w:numId w:val="0"/>
        </w:numPr>
        <w:ind w:left="851" w:hanging="851"/>
      </w:pPr>
      <w:r w:rsidRPr="00DB433A">
        <w:t>Survey</w:t>
      </w:r>
    </w:p>
    <w:p w:rsidR="00334490" w:rsidRPr="00DB433A" w:rsidRDefault="003D7CD2" w:rsidP="00334490">
      <w:pPr>
        <w:rPr>
          <w:lang w:val="en-NZ"/>
        </w:rPr>
      </w:pPr>
      <w:r w:rsidRPr="00DB433A">
        <w:rPr>
          <w:lang w:val="en-NZ"/>
        </w:rPr>
        <w:t xml:space="preserve">We developed a survey to gather additional information from schools. The primary purpose was to </w:t>
      </w:r>
      <w:r w:rsidR="00810B8D" w:rsidRPr="00DB433A">
        <w:rPr>
          <w:lang w:val="en-NZ"/>
        </w:rPr>
        <w:t xml:space="preserve">identify how schools allocate teacher resources across year groups, so that we could compare that to the way </w:t>
      </w:r>
      <w:r w:rsidR="006519DE">
        <w:rPr>
          <w:lang w:val="en-NZ"/>
        </w:rPr>
        <w:t>government</w:t>
      </w:r>
      <w:r w:rsidR="00810B8D" w:rsidRPr="00DB433A">
        <w:rPr>
          <w:lang w:val="en-NZ"/>
        </w:rPr>
        <w:t xml:space="preserve"> funds.</w:t>
      </w:r>
      <w:r w:rsidR="00BD1707" w:rsidRPr="00DB433A">
        <w:rPr>
          <w:lang w:val="en-NZ"/>
        </w:rPr>
        <w:t xml:space="preserve"> The survey also asked about schools’ initiatives to lower barriers for students at risk of not achieving, and key reasons why schools were paying for additional teachers from Bulk Grants.</w:t>
      </w:r>
    </w:p>
    <w:p w:rsidR="00337401" w:rsidRDefault="008A4C26" w:rsidP="00334490">
      <w:pPr>
        <w:rPr>
          <w:lang w:val="en-NZ"/>
        </w:rPr>
      </w:pPr>
      <w:r w:rsidRPr="00DB433A">
        <w:rPr>
          <w:lang w:val="en-NZ"/>
        </w:rPr>
        <w:t xml:space="preserve">We received </w:t>
      </w:r>
      <w:r w:rsidR="00337401">
        <w:rPr>
          <w:lang w:val="en-NZ"/>
        </w:rPr>
        <w:t xml:space="preserve">53 </w:t>
      </w:r>
      <w:r w:rsidRPr="00DB433A">
        <w:rPr>
          <w:lang w:val="en-NZ"/>
        </w:rPr>
        <w:t>responses</w:t>
      </w:r>
      <w:r w:rsidR="00BD1707" w:rsidRPr="00DB433A">
        <w:rPr>
          <w:lang w:val="en-NZ"/>
        </w:rPr>
        <w:t xml:space="preserve"> to the survey, providing </w:t>
      </w:r>
      <w:r w:rsidR="003D6AC0" w:rsidRPr="00DB433A">
        <w:rPr>
          <w:lang w:val="en-NZ"/>
        </w:rPr>
        <w:t>coverage across most types of schools</w:t>
      </w:r>
      <w:r w:rsidR="00337401">
        <w:rPr>
          <w:lang w:val="en-NZ"/>
        </w:rPr>
        <w:t>. Appendix B provides a description of the schools that responded.</w:t>
      </w:r>
    </w:p>
    <w:p w:rsidR="00C90E4C" w:rsidRPr="00DB433A" w:rsidRDefault="007B25E2" w:rsidP="004F24DE">
      <w:pPr>
        <w:rPr>
          <w:lang w:val="en-NZ"/>
        </w:rPr>
      </w:pPr>
      <w:r w:rsidRPr="00DB433A">
        <w:rPr>
          <w:lang w:val="en-NZ"/>
        </w:rPr>
        <w:t xml:space="preserve">We are conscious that many schools had not provided or collected this sort of information before, and the responses varied in terms of accuracy and </w:t>
      </w:r>
      <w:r w:rsidRPr="00DB433A">
        <w:rPr>
          <w:lang w:val="en-NZ"/>
        </w:rPr>
        <w:lastRenderedPageBreak/>
        <w:t>completeness. As such, the results from the survey are indicative rather than figures that could be extrapolated robustly across the population of schools.</w:t>
      </w:r>
    </w:p>
    <w:p w:rsidR="009F111E" w:rsidRPr="00DB433A" w:rsidRDefault="009F111E" w:rsidP="009F111E">
      <w:pPr>
        <w:pStyle w:val="Heading1BlueNumbered"/>
        <w:numPr>
          <w:ilvl w:val="0"/>
          <w:numId w:val="0"/>
        </w:numPr>
        <w:ind w:left="851" w:hanging="851"/>
      </w:pPr>
      <w:r w:rsidRPr="00DB433A">
        <w:t>Interviews</w:t>
      </w:r>
    </w:p>
    <w:p w:rsidR="00337401" w:rsidRDefault="009F111E" w:rsidP="00337401">
      <w:pPr>
        <w:rPr>
          <w:lang w:val="en-NZ"/>
        </w:rPr>
      </w:pPr>
      <w:r w:rsidRPr="00DB433A">
        <w:rPr>
          <w:lang w:val="en-NZ"/>
        </w:rPr>
        <w:t xml:space="preserve">We followed up with interviews with </w:t>
      </w:r>
      <w:r w:rsidR="00337401">
        <w:rPr>
          <w:lang w:val="en-NZ"/>
        </w:rPr>
        <w:t xml:space="preserve">17 </w:t>
      </w:r>
      <w:r w:rsidRPr="00DB433A">
        <w:rPr>
          <w:lang w:val="en-NZ"/>
        </w:rPr>
        <w:t xml:space="preserve">schools. </w:t>
      </w:r>
      <w:r w:rsidR="00280304" w:rsidRPr="00DB433A">
        <w:rPr>
          <w:lang w:val="en-NZ"/>
        </w:rPr>
        <w:t>These provided us with more qualitative information about how schools plan and approach their budgets, determine their classes, and allocate teaching resource.</w:t>
      </w:r>
      <w:r w:rsidR="00337401">
        <w:rPr>
          <w:lang w:val="en-NZ"/>
        </w:rPr>
        <w:t xml:space="preserve"> Appendix B provides a description of the schools we interviewed.</w:t>
      </w:r>
    </w:p>
    <w:p w:rsidR="00884A25" w:rsidRDefault="00884A25" w:rsidP="00884A25">
      <w:pPr>
        <w:pStyle w:val="Sectionintro"/>
        <w:rPr>
          <w:lang w:val="en-NZ"/>
        </w:rPr>
      </w:pPr>
      <w:r w:rsidRPr="00DB433A">
        <w:rPr>
          <w:lang w:val="en-NZ"/>
        </w:rPr>
        <w:t>Glossary</w:t>
      </w:r>
      <w:r w:rsidR="00E756D9" w:rsidRPr="00DB433A">
        <w:rPr>
          <w:lang w:val="en-NZ"/>
        </w:rPr>
        <w:t xml:space="preserve"> of Terms</w:t>
      </w:r>
    </w:p>
    <w:tbl>
      <w:tblPr>
        <w:tblStyle w:val="TableGrid"/>
        <w:tblW w:w="6804" w:type="dxa"/>
        <w:tblLook w:val="04A0"/>
      </w:tblPr>
      <w:tblGrid>
        <w:gridCol w:w="2410"/>
        <w:gridCol w:w="4394"/>
      </w:tblGrid>
      <w:tr w:rsidR="00337401" w:rsidRPr="00DB433A" w:rsidTr="00DD3BA6">
        <w:trPr>
          <w:cnfStyle w:val="100000000000"/>
        </w:trPr>
        <w:tc>
          <w:tcPr>
            <w:tcW w:w="2410"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rPr>
                <w:b/>
                <w:lang w:val="en-NZ"/>
              </w:rPr>
            </w:pPr>
            <w:r w:rsidRPr="00DB433A">
              <w:rPr>
                <w:b/>
                <w:lang w:val="en-NZ"/>
              </w:rPr>
              <w:t>$</w:t>
            </w:r>
          </w:p>
        </w:tc>
        <w:tc>
          <w:tcPr>
            <w:tcW w:w="4394"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ind w:left="142"/>
              <w:rPr>
                <w:lang w:val="en-NZ"/>
              </w:rPr>
            </w:pPr>
            <w:r w:rsidRPr="00DB433A">
              <w:rPr>
                <w:lang w:val="en-NZ"/>
              </w:rPr>
              <w:t>New Zealand Dollars</w:t>
            </w:r>
          </w:p>
        </w:tc>
      </w:tr>
      <w:tr w:rsidR="00337401" w:rsidRPr="00DB433A" w:rsidTr="00DD3BA6">
        <w:tc>
          <w:tcPr>
            <w:tcW w:w="2410"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rPr>
                <w:b/>
                <w:lang w:val="en-NZ"/>
              </w:rPr>
            </w:pPr>
            <w:r w:rsidRPr="00DB433A">
              <w:rPr>
                <w:b/>
                <w:lang w:val="en-NZ"/>
              </w:rPr>
              <w:t>Bulk Grant</w:t>
            </w:r>
          </w:p>
        </w:tc>
        <w:tc>
          <w:tcPr>
            <w:tcW w:w="4394"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ind w:left="142"/>
              <w:rPr>
                <w:lang w:val="en-NZ"/>
              </w:rPr>
            </w:pPr>
            <w:r w:rsidRPr="00DB433A">
              <w:rPr>
                <w:lang w:val="en-NZ"/>
              </w:rPr>
              <w:t>Funding source category in the schools’ payroll system, which is a proxy for staff paid out of schools’ Operations Grants or locally raised funds</w:t>
            </w:r>
          </w:p>
        </w:tc>
      </w:tr>
      <w:tr w:rsidR="00337401" w:rsidRPr="00DB433A" w:rsidTr="00DD3BA6">
        <w:tc>
          <w:tcPr>
            <w:tcW w:w="2410"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rPr>
                <w:b/>
                <w:lang w:val="en-NZ"/>
              </w:rPr>
            </w:pPr>
            <w:r>
              <w:rPr>
                <w:b/>
                <w:lang w:val="en-NZ"/>
              </w:rPr>
              <w:t>Decile</w:t>
            </w:r>
          </w:p>
        </w:tc>
        <w:tc>
          <w:tcPr>
            <w:tcW w:w="4394"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ind w:left="142"/>
              <w:rPr>
                <w:lang w:val="en-NZ"/>
              </w:rPr>
            </w:pPr>
            <w:r w:rsidRPr="00DD3512">
              <w:rPr>
                <w:lang w:val="en-NZ"/>
              </w:rPr>
              <w:t xml:space="preserve">School deciles indicate the extent </w:t>
            </w:r>
            <w:r>
              <w:rPr>
                <w:lang w:val="en-NZ"/>
              </w:rPr>
              <w:t>each</w:t>
            </w:r>
            <w:r w:rsidRPr="00DD3512">
              <w:rPr>
                <w:lang w:val="en-NZ"/>
              </w:rPr>
              <w:t xml:space="preserve"> school draws their students from low socio-economic communities</w:t>
            </w:r>
          </w:p>
        </w:tc>
      </w:tr>
      <w:tr w:rsidR="00337401" w:rsidRPr="00DB433A" w:rsidTr="00DD3BA6">
        <w:tc>
          <w:tcPr>
            <w:tcW w:w="2410"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rPr>
                <w:b/>
                <w:lang w:val="en-NZ"/>
              </w:rPr>
            </w:pPr>
            <w:r w:rsidRPr="00DB433A">
              <w:rPr>
                <w:b/>
                <w:lang w:val="en-NZ"/>
              </w:rPr>
              <w:t>FIDS</w:t>
            </w:r>
          </w:p>
        </w:tc>
        <w:tc>
          <w:tcPr>
            <w:tcW w:w="4394"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ind w:left="142"/>
              <w:rPr>
                <w:lang w:val="en-NZ"/>
              </w:rPr>
            </w:pPr>
            <w:r w:rsidRPr="00DB433A">
              <w:rPr>
                <w:lang w:val="en-NZ"/>
              </w:rPr>
              <w:t>Financial Information Database for Schools</w:t>
            </w:r>
          </w:p>
        </w:tc>
      </w:tr>
      <w:tr w:rsidR="00337401" w:rsidRPr="00DB433A" w:rsidTr="00DD3BA6">
        <w:tc>
          <w:tcPr>
            <w:tcW w:w="2410"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rPr>
                <w:b/>
                <w:lang w:val="en-NZ"/>
              </w:rPr>
            </w:pPr>
            <w:r w:rsidRPr="00DB433A">
              <w:rPr>
                <w:b/>
                <w:lang w:val="en-NZ"/>
              </w:rPr>
              <w:t>FTE</w:t>
            </w:r>
          </w:p>
        </w:tc>
        <w:tc>
          <w:tcPr>
            <w:tcW w:w="4394"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ind w:left="142"/>
              <w:rPr>
                <w:lang w:val="en-NZ"/>
              </w:rPr>
            </w:pPr>
            <w:r w:rsidRPr="00DB433A">
              <w:rPr>
                <w:lang w:val="en-NZ"/>
              </w:rPr>
              <w:t>Full Time Employee</w:t>
            </w:r>
          </w:p>
        </w:tc>
      </w:tr>
      <w:tr w:rsidR="00337401" w:rsidRPr="00DB433A" w:rsidTr="00DD3BA6">
        <w:tc>
          <w:tcPr>
            <w:tcW w:w="2410"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rPr>
                <w:b/>
                <w:lang w:val="en-NZ"/>
              </w:rPr>
            </w:pPr>
            <w:r w:rsidRPr="00DB433A">
              <w:rPr>
                <w:b/>
                <w:lang w:val="en-NZ"/>
              </w:rPr>
              <w:t>FTTE</w:t>
            </w:r>
          </w:p>
        </w:tc>
        <w:tc>
          <w:tcPr>
            <w:tcW w:w="4394"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ind w:left="142"/>
              <w:rPr>
                <w:lang w:val="en-NZ"/>
              </w:rPr>
            </w:pPr>
            <w:r w:rsidRPr="00DB433A">
              <w:rPr>
                <w:lang w:val="en-NZ"/>
              </w:rPr>
              <w:t>Full Time Teaching Equivalent</w:t>
            </w:r>
          </w:p>
        </w:tc>
      </w:tr>
      <w:tr w:rsidR="00337401" w:rsidRPr="00DB433A" w:rsidTr="00DD3BA6">
        <w:tc>
          <w:tcPr>
            <w:tcW w:w="2410"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rPr>
                <w:b/>
                <w:lang w:val="en-NZ"/>
              </w:rPr>
            </w:pPr>
            <w:r>
              <w:rPr>
                <w:b/>
                <w:lang w:val="en-NZ"/>
              </w:rPr>
              <w:t>FTTE Entitlement</w:t>
            </w:r>
          </w:p>
        </w:tc>
        <w:tc>
          <w:tcPr>
            <w:tcW w:w="4394" w:type="dxa"/>
            <w:tcBorders>
              <w:top w:val="single" w:sz="12" w:space="0" w:color="86BC25" w:themeColor="accent1"/>
              <w:bottom w:val="single" w:sz="12" w:space="0" w:color="86BC25" w:themeColor="accent1"/>
            </w:tcBorders>
          </w:tcPr>
          <w:p w:rsidR="00337401" w:rsidRPr="00DB433A" w:rsidRDefault="008722EC" w:rsidP="00DD3BA6">
            <w:pPr>
              <w:spacing w:before="60" w:after="60" w:line="276" w:lineRule="auto"/>
              <w:ind w:left="142"/>
              <w:rPr>
                <w:lang w:val="en-NZ"/>
              </w:rPr>
            </w:pPr>
            <w:r w:rsidRPr="008722EC">
              <w:rPr>
                <w:lang w:val="en-NZ"/>
              </w:rPr>
              <w:t>The number of FTTE teaching staff, calculated for each school, where the Ministry directly meets the salary costs.</w:t>
            </w:r>
            <w:r>
              <w:rPr>
                <w:lang w:val="en-NZ"/>
              </w:rPr>
              <w:t xml:space="preserve"> </w:t>
            </w:r>
            <w:r w:rsidR="00337401">
              <w:rPr>
                <w:lang w:val="en-NZ"/>
              </w:rPr>
              <w:t>This is a funding source category in the</w:t>
            </w:r>
            <w:r w:rsidR="00337401" w:rsidRPr="00DB433A">
              <w:rPr>
                <w:lang w:val="en-NZ"/>
              </w:rPr>
              <w:t xml:space="preserve"> schools’ payroll system</w:t>
            </w:r>
            <w:r w:rsidR="00337401">
              <w:rPr>
                <w:lang w:val="en-NZ"/>
              </w:rPr>
              <w:t xml:space="preserve"> and reflects the staff funding the Ministry provides to schools for curriculum learning and management.</w:t>
            </w:r>
          </w:p>
        </w:tc>
      </w:tr>
      <w:tr w:rsidR="00337401" w:rsidRPr="00DB433A" w:rsidTr="00DD3BA6">
        <w:tc>
          <w:tcPr>
            <w:tcW w:w="2410"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rPr>
                <w:b/>
                <w:lang w:val="en-NZ"/>
              </w:rPr>
            </w:pPr>
            <w:r w:rsidRPr="00DB433A">
              <w:rPr>
                <w:b/>
                <w:lang w:val="en-NZ"/>
              </w:rPr>
              <w:t>Ministry</w:t>
            </w:r>
          </w:p>
        </w:tc>
        <w:tc>
          <w:tcPr>
            <w:tcW w:w="4394"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ind w:left="142"/>
              <w:rPr>
                <w:lang w:val="en-NZ"/>
              </w:rPr>
            </w:pPr>
            <w:r w:rsidRPr="00DB433A">
              <w:rPr>
                <w:lang w:val="en-NZ"/>
              </w:rPr>
              <w:t>The Ministry of Education, Te Tahuhu o te Matauranga</w:t>
            </w:r>
          </w:p>
        </w:tc>
      </w:tr>
      <w:tr w:rsidR="00337401" w:rsidRPr="00DB433A" w:rsidTr="00DD3BA6">
        <w:tc>
          <w:tcPr>
            <w:tcW w:w="2410" w:type="dxa"/>
            <w:tcBorders>
              <w:top w:val="single" w:sz="12" w:space="0" w:color="86BC25" w:themeColor="accent1"/>
              <w:bottom w:val="single" w:sz="12" w:space="0" w:color="86BC25" w:themeColor="accent1"/>
            </w:tcBorders>
          </w:tcPr>
          <w:p w:rsidR="00337401" w:rsidRPr="00DB433A" w:rsidRDefault="00337401" w:rsidP="00DD3BA6">
            <w:pPr>
              <w:spacing w:before="60" w:after="60" w:line="276" w:lineRule="auto"/>
              <w:rPr>
                <w:b/>
                <w:lang w:val="en-NZ"/>
              </w:rPr>
            </w:pPr>
            <w:r>
              <w:rPr>
                <w:b/>
                <w:lang w:val="en-NZ"/>
              </w:rPr>
              <w:t>Operations Grant</w:t>
            </w:r>
          </w:p>
        </w:tc>
        <w:tc>
          <w:tcPr>
            <w:tcW w:w="4394" w:type="dxa"/>
            <w:tcBorders>
              <w:top w:val="single" w:sz="12" w:space="0" w:color="86BC25" w:themeColor="accent1"/>
              <w:bottom w:val="single" w:sz="12" w:space="0" w:color="86BC25" w:themeColor="accent1"/>
            </w:tcBorders>
          </w:tcPr>
          <w:p w:rsidR="00337401" w:rsidRPr="00DB433A" w:rsidRDefault="00D00946" w:rsidP="00D00946">
            <w:pPr>
              <w:spacing w:before="60" w:after="60" w:line="276" w:lineRule="auto"/>
              <w:ind w:left="142"/>
              <w:rPr>
                <w:lang w:val="en-NZ"/>
              </w:rPr>
            </w:pPr>
            <w:r>
              <w:rPr>
                <w:lang w:val="en-NZ"/>
              </w:rPr>
              <w:t>Cash f</w:t>
            </w:r>
            <w:r w:rsidR="00337401">
              <w:rPr>
                <w:lang w:val="en-NZ"/>
              </w:rPr>
              <w:t xml:space="preserve">unding </w:t>
            </w:r>
            <w:r>
              <w:rPr>
                <w:lang w:val="en-NZ"/>
              </w:rPr>
              <w:t>government</w:t>
            </w:r>
            <w:r w:rsidR="00337401">
              <w:rPr>
                <w:lang w:val="en-NZ"/>
              </w:rPr>
              <w:t xml:space="preserve"> provides to schools with a range of different components and calculations</w:t>
            </w:r>
          </w:p>
        </w:tc>
      </w:tr>
      <w:tr w:rsidR="00287604" w:rsidRPr="00DB433A" w:rsidTr="00DD3BA6">
        <w:tc>
          <w:tcPr>
            <w:tcW w:w="2410" w:type="dxa"/>
            <w:tcBorders>
              <w:top w:val="single" w:sz="12" w:space="0" w:color="86BC25" w:themeColor="accent1"/>
              <w:bottom w:val="single" w:sz="12" w:space="0" w:color="86BC25" w:themeColor="accent1"/>
            </w:tcBorders>
          </w:tcPr>
          <w:p w:rsidR="00287604" w:rsidRPr="00287604" w:rsidRDefault="00287604" w:rsidP="00287604">
            <w:pPr>
              <w:spacing w:before="60" w:after="60" w:line="276" w:lineRule="auto"/>
              <w:rPr>
                <w:b/>
                <w:lang w:val="en-NZ"/>
              </w:rPr>
            </w:pPr>
            <w:r w:rsidRPr="008722EC">
              <w:rPr>
                <w:b/>
                <w:lang w:val="en-NZ"/>
              </w:rPr>
              <w:t>Other Schools</w:t>
            </w:r>
          </w:p>
        </w:tc>
        <w:tc>
          <w:tcPr>
            <w:tcW w:w="4394" w:type="dxa"/>
            <w:tcBorders>
              <w:top w:val="single" w:sz="12" w:space="0" w:color="86BC25" w:themeColor="accent1"/>
              <w:bottom w:val="single" w:sz="12" w:space="0" w:color="86BC25" w:themeColor="accent1"/>
            </w:tcBorders>
          </w:tcPr>
          <w:p w:rsidR="00287604" w:rsidRPr="00287604" w:rsidRDefault="008722EC" w:rsidP="008722EC">
            <w:pPr>
              <w:spacing w:before="60" w:after="60" w:line="276" w:lineRule="auto"/>
              <w:ind w:left="142"/>
              <w:rPr>
                <w:lang w:val="en-NZ"/>
              </w:rPr>
            </w:pPr>
            <w:r>
              <w:rPr>
                <w:lang w:val="en-NZ"/>
              </w:rPr>
              <w:t>Used in several places as a category of schools and includes:</w:t>
            </w:r>
            <w:r w:rsidR="00287604" w:rsidRPr="008722EC">
              <w:rPr>
                <w:lang w:val="en-NZ"/>
              </w:rPr>
              <w:t xml:space="preserve"> Composite (Year 1-15), Restricted Composite (Year 7-10) or Special School</w:t>
            </w:r>
            <w:r w:rsidR="00D00946">
              <w:rPr>
                <w:lang w:val="en-NZ"/>
              </w:rPr>
              <w:t>s</w:t>
            </w:r>
            <w:r w:rsidR="00287604" w:rsidRPr="008722EC">
              <w:rPr>
                <w:lang w:val="en-NZ"/>
              </w:rPr>
              <w:t xml:space="preserve"> per the school type in the list of New Zealand schools</w:t>
            </w:r>
          </w:p>
        </w:tc>
      </w:tr>
      <w:tr w:rsidR="00287604" w:rsidRPr="00DB433A" w:rsidTr="00DD3BA6">
        <w:tc>
          <w:tcPr>
            <w:tcW w:w="2410"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rPr>
                <w:b/>
                <w:lang w:val="en-NZ"/>
              </w:rPr>
            </w:pPr>
            <w:r w:rsidRPr="00DB433A">
              <w:rPr>
                <w:b/>
                <w:lang w:val="en-NZ"/>
              </w:rPr>
              <w:t>Primary Schools</w:t>
            </w:r>
          </w:p>
        </w:tc>
        <w:tc>
          <w:tcPr>
            <w:tcW w:w="4394"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ind w:left="142"/>
              <w:rPr>
                <w:lang w:val="en-NZ"/>
              </w:rPr>
            </w:pPr>
            <w:r w:rsidRPr="00DB433A">
              <w:rPr>
                <w:lang w:val="en-NZ"/>
              </w:rPr>
              <w:t>Includes schools categorised as Contributing or Full Primary per the school type in the list of New Zealand schools</w:t>
            </w:r>
          </w:p>
        </w:tc>
      </w:tr>
      <w:tr w:rsidR="00287604" w:rsidRPr="00DB433A" w:rsidTr="00DD3BA6">
        <w:tc>
          <w:tcPr>
            <w:tcW w:w="2410"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rPr>
                <w:b/>
                <w:lang w:val="en-NZ"/>
              </w:rPr>
            </w:pPr>
            <w:r w:rsidRPr="00DB433A">
              <w:rPr>
                <w:b/>
                <w:lang w:val="en-NZ"/>
              </w:rPr>
              <w:t>Regular Teachers</w:t>
            </w:r>
          </w:p>
        </w:tc>
        <w:tc>
          <w:tcPr>
            <w:tcW w:w="4394"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ind w:left="142"/>
              <w:rPr>
                <w:lang w:val="en-NZ"/>
              </w:rPr>
            </w:pPr>
            <w:r w:rsidRPr="00DB433A">
              <w:rPr>
                <w:lang w:val="en-NZ"/>
              </w:rPr>
              <w:t>For the purposes of this report, all teachers in permanent or fixed term employment as per the schools’ payroll data</w:t>
            </w:r>
          </w:p>
        </w:tc>
      </w:tr>
      <w:tr w:rsidR="00287604" w:rsidRPr="00DB433A" w:rsidTr="00DD3BA6">
        <w:tc>
          <w:tcPr>
            <w:tcW w:w="2410"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rPr>
                <w:b/>
                <w:lang w:val="en-NZ"/>
              </w:rPr>
            </w:pPr>
            <w:r w:rsidRPr="00DB433A">
              <w:rPr>
                <w:b/>
                <w:lang w:val="en-NZ"/>
              </w:rPr>
              <w:lastRenderedPageBreak/>
              <w:t>Relievers</w:t>
            </w:r>
          </w:p>
        </w:tc>
        <w:tc>
          <w:tcPr>
            <w:tcW w:w="4394" w:type="dxa"/>
            <w:tcBorders>
              <w:top w:val="single" w:sz="12" w:space="0" w:color="86BC25" w:themeColor="accent1"/>
              <w:bottom w:val="single" w:sz="12" w:space="0" w:color="86BC25" w:themeColor="accent1"/>
            </w:tcBorders>
          </w:tcPr>
          <w:p w:rsidR="008722EC" w:rsidRPr="00DB433A" w:rsidRDefault="00287604" w:rsidP="00435702">
            <w:pPr>
              <w:spacing w:before="60" w:after="60" w:line="276" w:lineRule="auto"/>
              <w:ind w:left="142"/>
              <w:rPr>
                <w:lang w:val="en-NZ"/>
              </w:rPr>
            </w:pPr>
            <w:r w:rsidRPr="00DB433A">
              <w:rPr>
                <w:lang w:val="en-NZ"/>
              </w:rPr>
              <w:t>For the purposes of this report, all teachers identified as “Reliever” in the tenure of the schools’ payroll data</w:t>
            </w:r>
          </w:p>
        </w:tc>
      </w:tr>
      <w:tr w:rsidR="00435702" w:rsidRPr="00DB433A" w:rsidTr="00DD3BA6">
        <w:tc>
          <w:tcPr>
            <w:tcW w:w="2410" w:type="dxa"/>
            <w:tcBorders>
              <w:top w:val="single" w:sz="12" w:space="0" w:color="86BC25" w:themeColor="accent1"/>
              <w:bottom w:val="single" w:sz="12" w:space="0" w:color="86BC25" w:themeColor="accent1"/>
            </w:tcBorders>
          </w:tcPr>
          <w:p w:rsidR="00435702" w:rsidRPr="00DB433A" w:rsidRDefault="00435702" w:rsidP="00287604">
            <w:pPr>
              <w:spacing w:before="60" w:after="60" w:line="276" w:lineRule="auto"/>
              <w:rPr>
                <w:b/>
                <w:lang w:val="en-NZ"/>
              </w:rPr>
            </w:pPr>
            <w:r>
              <w:rPr>
                <w:b/>
                <w:lang w:val="en-NZ"/>
              </w:rPr>
              <w:t>RTLB (Resource Teacher: Learning and Behaviour)</w:t>
            </w:r>
          </w:p>
        </w:tc>
        <w:tc>
          <w:tcPr>
            <w:tcW w:w="4394" w:type="dxa"/>
            <w:tcBorders>
              <w:top w:val="single" w:sz="12" w:space="0" w:color="86BC25" w:themeColor="accent1"/>
              <w:bottom w:val="single" w:sz="12" w:space="0" w:color="86BC25" w:themeColor="accent1"/>
            </w:tcBorders>
          </w:tcPr>
          <w:p w:rsidR="00435702" w:rsidRPr="00DB433A" w:rsidRDefault="00435702" w:rsidP="00435702">
            <w:pPr>
              <w:spacing w:before="60" w:after="60" w:line="276" w:lineRule="auto"/>
              <w:ind w:left="142"/>
              <w:rPr>
                <w:lang w:val="en-NZ"/>
              </w:rPr>
            </w:pPr>
            <w:r>
              <w:rPr>
                <w:lang w:val="en-NZ"/>
              </w:rPr>
              <w:t>The RTLB service is a Ministry</w:t>
            </w:r>
            <w:r w:rsidRPr="00435702">
              <w:rPr>
                <w:lang w:val="en-NZ"/>
              </w:rPr>
              <w:t>-funded learning and behaviour service that sits alongside the Ministry’s Special Education Specialist Support service.</w:t>
            </w:r>
          </w:p>
        </w:tc>
      </w:tr>
      <w:tr w:rsidR="00287604" w:rsidRPr="00DB433A" w:rsidTr="00DD3BA6">
        <w:tc>
          <w:tcPr>
            <w:tcW w:w="2410"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rPr>
                <w:b/>
                <w:lang w:val="en-NZ"/>
              </w:rPr>
            </w:pPr>
            <w:r w:rsidRPr="00DB433A">
              <w:rPr>
                <w:b/>
                <w:lang w:val="en-NZ"/>
              </w:rPr>
              <w:t>Secondary Schools</w:t>
            </w:r>
          </w:p>
        </w:tc>
        <w:tc>
          <w:tcPr>
            <w:tcW w:w="4394"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ind w:left="142"/>
              <w:rPr>
                <w:lang w:val="en-NZ"/>
              </w:rPr>
            </w:pPr>
            <w:r w:rsidRPr="00DB433A">
              <w:rPr>
                <w:lang w:val="en-NZ"/>
              </w:rPr>
              <w:t>Includes schools categorised as Secondary (Year 9-15) or Secondary (Year 7-15) per the school type in the list of New Zealand schools</w:t>
            </w:r>
          </w:p>
        </w:tc>
      </w:tr>
      <w:tr w:rsidR="00287604" w:rsidRPr="00DB433A" w:rsidTr="00DD3BA6">
        <w:tc>
          <w:tcPr>
            <w:tcW w:w="2410"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rPr>
                <w:b/>
                <w:lang w:val="en-NZ"/>
              </w:rPr>
            </w:pPr>
            <w:r w:rsidRPr="00DB433A">
              <w:rPr>
                <w:b/>
                <w:lang w:val="en-NZ"/>
              </w:rPr>
              <w:t>Teaching-Related (staff)</w:t>
            </w:r>
          </w:p>
        </w:tc>
        <w:tc>
          <w:tcPr>
            <w:tcW w:w="4394"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ind w:left="142"/>
              <w:rPr>
                <w:lang w:val="en-NZ"/>
              </w:rPr>
            </w:pPr>
            <w:r w:rsidRPr="00DB433A">
              <w:rPr>
                <w:lang w:val="en-NZ"/>
              </w:rPr>
              <w:t>For the purposes of this report, all staff (teachers and teaching support) we have identified as directly involved in teaching activities, through designations in the schools’ payroll data</w:t>
            </w:r>
          </w:p>
        </w:tc>
      </w:tr>
      <w:tr w:rsidR="00287604" w:rsidRPr="00DB433A" w:rsidTr="00DD3BA6">
        <w:tc>
          <w:tcPr>
            <w:tcW w:w="2410"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rPr>
                <w:b/>
                <w:lang w:val="en-NZ"/>
              </w:rPr>
            </w:pPr>
            <w:r w:rsidRPr="00DB433A">
              <w:rPr>
                <w:b/>
                <w:lang w:val="en-NZ"/>
              </w:rPr>
              <w:t>Teaching Support (roles)</w:t>
            </w:r>
          </w:p>
        </w:tc>
        <w:tc>
          <w:tcPr>
            <w:tcW w:w="4394"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ind w:left="142"/>
              <w:rPr>
                <w:lang w:val="en-NZ"/>
              </w:rPr>
            </w:pPr>
            <w:r w:rsidRPr="00DB433A">
              <w:rPr>
                <w:lang w:val="en-NZ"/>
              </w:rPr>
              <w:t xml:space="preserve">For the purposes of this report, all staff similar to </w:t>
            </w:r>
            <w:r>
              <w:rPr>
                <w:lang w:val="en-NZ"/>
              </w:rPr>
              <w:t>t</w:t>
            </w:r>
            <w:r w:rsidRPr="00DB433A">
              <w:rPr>
                <w:lang w:val="en-NZ"/>
              </w:rPr>
              <w:t xml:space="preserve">eacher </w:t>
            </w:r>
            <w:r>
              <w:rPr>
                <w:lang w:val="en-NZ"/>
              </w:rPr>
              <w:t>a</w:t>
            </w:r>
            <w:r w:rsidRPr="00DB433A">
              <w:rPr>
                <w:lang w:val="en-NZ"/>
              </w:rPr>
              <w:t>ides who support teachers in schools, identified through designations in the schools’ payroll data</w:t>
            </w:r>
          </w:p>
        </w:tc>
      </w:tr>
      <w:tr w:rsidR="00287604" w:rsidRPr="00DB433A" w:rsidTr="00DD3BA6">
        <w:tc>
          <w:tcPr>
            <w:tcW w:w="2410"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rPr>
                <w:b/>
                <w:lang w:val="en-NZ"/>
              </w:rPr>
            </w:pPr>
            <w:r>
              <w:rPr>
                <w:b/>
                <w:lang w:val="en-NZ"/>
              </w:rPr>
              <w:t>TFEA (Targeted Funding for Educational Achievement)</w:t>
            </w:r>
          </w:p>
        </w:tc>
        <w:tc>
          <w:tcPr>
            <w:tcW w:w="4394" w:type="dxa"/>
            <w:tcBorders>
              <w:top w:val="single" w:sz="12" w:space="0" w:color="86BC25" w:themeColor="accent1"/>
              <w:bottom w:val="single" w:sz="12" w:space="0" w:color="86BC25" w:themeColor="accent1"/>
            </w:tcBorders>
          </w:tcPr>
          <w:p w:rsidR="00287604" w:rsidRPr="00DB433A" w:rsidRDefault="00287604" w:rsidP="00287604">
            <w:pPr>
              <w:spacing w:before="60" w:after="60" w:line="276" w:lineRule="auto"/>
              <w:ind w:left="142"/>
              <w:rPr>
                <w:lang w:val="en-NZ"/>
              </w:rPr>
            </w:pPr>
            <w:r>
              <w:rPr>
                <w:lang w:val="en-NZ"/>
              </w:rPr>
              <w:t xml:space="preserve">This funding is provided to schools to </w:t>
            </w:r>
            <w:r w:rsidRPr="00361D7A">
              <w:rPr>
                <w:lang w:val="en-NZ"/>
              </w:rPr>
              <w:t>help lower barriers to learning that students from low socio-economic communities might face</w:t>
            </w:r>
            <w:r>
              <w:rPr>
                <w:lang w:val="en-NZ"/>
              </w:rPr>
              <w:t>, and is calculated based on each schools’ decile</w:t>
            </w:r>
          </w:p>
        </w:tc>
      </w:tr>
      <w:tr w:rsidR="00287604" w:rsidRPr="00DB433A" w:rsidTr="00DD3BA6">
        <w:tc>
          <w:tcPr>
            <w:tcW w:w="2410" w:type="dxa"/>
            <w:tcBorders>
              <w:top w:val="single" w:sz="12" w:space="0" w:color="86BC25" w:themeColor="accent1"/>
            </w:tcBorders>
          </w:tcPr>
          <w:p w:rsidR="00287604" w:rsidRPr="00DB433A" w:rsidRDefault="00287604" w:rsidP="00287604">
            <w:pPr>
              <w:spacing w:before="60" w:after="60" w:line="276" w:lineRule="auto"/>
              <w:rPr>
                <w:lang w:val="en-NZ"/>
              </w:rPr>
            </w:pPr>
          </w:p>
        </w:tc>
        <w:tc>
          <w:tcPr>
            <w:tcW w:w="4394" w:type="dxa"/>
            <w:tcBorders>
              <w:top w:val="single" w:sz="12" w:space="0" w:color="86BC25" w:themeColor="accent1"/>
            </w:tcBorders>
          </w:tcPr>
          <w:p w:rsidR="00287604" w:rsidRPr="00DB433A" w:rsidRDefault="00287604" w:rsidP="00287604">
            <w:pPr>
              <w:spacing w:before="60" w:after="60" w:line="276" w:lineRule="auto"/>
              <w:ind w:left="142"/>
              <w:rPr>
                <w:lang w:val="en-NZ"/>
              </w:rPr>
            </w:pPr>
          </w:p>
        </w:tc>
      </w:tr>
    </w:tbl>
    <w:p w:rsidR="00337401" w:rsidRDefault="00337401" w:rsidP="00337401">
      <w:pPr>
        <w:rPr>
          <w:lang w:val="en-NZ"/>
        </w:rPr>
      </w:pPr>
    </w:p>
    <w:p w:rsidR="00337401" w:rsidRDefault="00337401" w:rsidP="00337401">
      <w:pPr>
        <w:rPr>
          <w:lang w:val="en-NZ"/>
        </w:rPr>
      </w:pPr>
    </w:p>
    <w:p w:rsidR="00337401" w:rsidRPr="00337401" w:rsidRDefault="00337401" w:rsidP="00337401">
      <w:pPr>
        <w:rPr>
          <w:lang w:val="en-NZ"/>
        </w:rPr>
      </w:pPr>
    </w:p>
    <w:p w:rsidR="00B62188" w:rsidRPr="00DB433A" w:rsidRDefault="00B62188">
      <w:pPr>
        <w:spacing w:after="200" w:line="276" w:lineRule="auto"/>
        <w:rPr>
          <w:sz w:val="60"/>
          <w:lang w:val="en-NZ"/>
        </w:rPr>
      </w:pPr>
      <w:r w:rsidRPr="00DB433A">
        <w:rPr>
          <w:lang w:val="en-NZ"/>
        </w:rPr>
        <w:br w:type="page"/>
      </w:r>
    </w:p>
    <w:p w:rsidR="00287604" w:rsidRPr="00DB433A" w:rsidRDefault="00287604" w:rsidP="00287604">
      <w:pPr>
        <w:pStyle w:val="Sectiontitle"/>
        <w:rPr>
          <w:lang w:val="en-NZ"/>
        </w:rPr>
      </w:pPr>
      <w:bookmarkStart w:id="4" w:name="_Toc463604446"/>
      <w:r w:rsidRPr="00DB433A">
        <w:rPr>
          <w:lang w:val="en-NZ"/>
        </w:rPr>
        <w:lastRenderedPageBreak/>
        <w:t>Funding sources</w:t>
      </w:r>
      <w:bookmarkEnd w:id="4"/>
    </w:p>
    <w:p w:rsidR="00287604" w:rsidRPr="00DB433A" w:rsidRDefault="00287604" w:rsidP="00287604">
      <w:pPr>
        <w:pStyle w:val="Sectionintro"/>
        <w:rPr>
          <w:lang w:val="en-NZ"/>
        </w:rPr>
      </w:pPr>
      <w:r w:rsidRPr="00DB433A">
        <w:rPr>
          <w:lang w:val="en-NZ"/>
        </w:rPr>
        <w:t>Summary</w:t>
      </w:r>
    </w:p>
    <w:p w:rsidR="00287604" w:rsidRPr="00DB433A" w:rsidRDefault="00287604" w:rsidP="00287604">
      <w:pPr>
        <w:rPr>
          <w:lang w:val="en-NZ"/>
        </w:rPr>
      </w:pPr>
      <w:r w:rsidRPr="00DB433A">
        <w:rPr>
          <w:lang w:val="en-NZ"/>
        </w:rPr>
        <w:t>Our analysis has identified four findings we believe are of particular interest.</w:t>
      </w:r>
    </w:p>
    <w:p w:rsidR="00287604" w:rsidRPr="00DB433A" w:rsidRDefault="00287604" w:rsidP="00287604">
      <w:pPr>
        <w:pStyle w:val="Heading1BlueNumbered"/>
        <w:numPr>
          <w:ilvl w:val="0"/>
          <w:numId w:val="0"/>
        </w:numPr>
        <w:ind w:left="851" w:hanging="851"/>
      </w:pPr>
      <w:r w:rsidRPr="00DB433A">
        <w:t>Distribution of funding per student</w:t>
      </w:r>
    </w:p>
    <w:p w:rsidR="001414D0" w:rsidRDefault="001414D0" w:rsidP="001414D0">
      <w:pPr>
        <w:rPr>
          <w:lang w:val="en-NZ"/>
        </w:rPr>
      </w:pPr>
      <w:r w:rsidRPr="00DB433A">
        <w:rPr>
          <w:lang w:val="en-NZ"/>
        </w:rPr>
        <w:t xml:space="preserve">The range of Government funding per student is quite broad. At the high end of funding per student, this is largely explained by school size and the nature of schools (e.g. Special Education schools </w:t>
      </w:r>
      <w:r>
        <w:rPr>
          <w:lang w:val="en-NZ"/>
        </w:rPr>
        <w:t>require additional resourcing).</w:t>
      </w:r>
    </w:p>
    <w:p w:rsidR="001414D0" w:rsidRDefault="001414D0" w:rsidP="001414D0">
      <w:pPr>
        <w:rPr>
          <w:lang w:val="en-NZ"/>
        </w:rPr>
      </w:pPr>
      <w:r>
        <w:rPr>
          <w:lang w:val="en-NZ"/>
        </w:rPr>
        <w:t>I</w:t>
      </w:r>
      <w:r w:rsidRPr="00DB433A">
        <w:rPr>
          <w:lang w:val="en-NZ"/>
        </w:rPr>
        <w:t>n the densest part of the distribution that represents the majority of schools, the range is also relatively high</w:t>
      </w:r>
      <w:r>
        <w:rPr>
          <w:lang w:val="en-NZ"/>
        </w:rPr>
        <w:t>. This is not due to any one factor but reflects combinations of:</w:t>
      </w:r>
    </w:p>
    <w:p w:rsidR="001414D0" w:rsidRDefault="001414D0" w:rsidP="001414D0">
      <w:pPr>
        <w:pStyle w:val="ListParagraph"/>
        <w:numPr>
          <w:ilvl w:val="0"/>
          <w:numId w:val="37"/>
        </w:numPr>
        <w:rPr>
          <w:lang w:val="en-NZ"/>
        </w:rPr>
      </w:pPr>
      <w:r>
        <w:rPr>
          <w:lang w:val="en-NZ"/>
        </w:rPr>
        <w:t>School size</w:t>
      </w:r>
    </w:p>
    <w:p w:rsidR="001414D0" w:rsidRDefault="001414D0" w:rsidP="001414D0">
      <w:pPr>
        <w:pStyle w:val="ListParagraph"/>
        <w:numPr>
          <w:ilvl w:val="0"/>
          <w:numId w:val="37"/>
        </w:numPr>
        <w:rPr>
          <w:lang w:val="en-NZ"/>
        </w:rPr>
      </w:pPr>
      <w:r>
        <w:rPr>
          <w:lang w:val="en-NZ"/>
        </w:rPr>
        <w:t>Targeted funding for students with particular needs</w:t>
      </w:r>
    </w:p>
    <w:p w:rsidR="001414D0" w:rsidRDefault="001414D0" w:rsidP="001414D0">
      <w:pPr>
        <w:pStyle w:val="ListParagraph"/>
        <w:numPr>
          <w:ilvl w:val="0"/>
          <w:numId w:val="37"/>
        </w:numPr>
        <w:rPr>
          <w:lang w:val="en-NZ"/>
        </w:rPr>
      </w:pPr>
      <w:r>
        <w:rPr>
          <w:lang w:val="en-NZ"/>
        </w:rPr>
        <w:t>Special programmes or additional responsibilities</w:t>
      </w:r>
    </w:p>
    <w:p w:rsidR="001414D0" w:rsidRPr="00893625" w:rsidRDefault="001414D0" w:rsidP="001414D0">
      <w:pPr>
        <w:pStyle w:val="ListParagraph"/>
        <w:numPr>
          <w:ilvl w:val="0"/>
          <w:numId w:val="37"/>
        </w:numPr>
        <w:rPr>
          <w:lang w:val="en-NZ"/>
        </w:rPr>
      </w:pPr>
      <w:r>
        <w:rPr>
          <w:lang w:val="en-NZ"/>
        </w:rPr>
        <w:t>Maori Immersion</w:t>
      </w:r>
    </w:p>
    <w:p w:rsidR="00287604" w:rsidRPr="00DB433A" w:rsidRDefault="00F40CDB" w:rsidP="00287604">
      <w:pPr>
        <w:pStyle w:val="Heading1BlueNumbered"/>
        <w:numPr>
          <w:ilvl w:val="0"/>
          <w:numId w:val="0"/>
        </w:numPr>
        <w:ind w:left="851" w:hanging="851"/>
      </w:pPr>
      <w:r>
        <w:t>Locally raised funds</w:t>
      </w:r>
    </w:p>
    <w:p w:rsidR="000564D3" w:rsidRDefault="000564D3" w:rsidP="000564D3">
      <w:pPr>
        <w:rPr>
          <w:lang w:val="en-NZ"/>
        </w:rPr>
      </w:pPr>
      <w:r>
        <w:rPr>
          <w:lang w:val="en-NZ"/>
        </w:rPr>
        <w:t>On average, secondary schools have higher net locally raised funds than other schools ($560 per student compared to $296 per student for primary and intermediate schools).</w:t>
      </w:r>
    </w:p>
    <w:p w:rsidR="000564D3" w:rsidRPr="00DB433A" w:rsidRDefault="000564D3" w:rsidP="000564D3">
      <w:pPr>
        <w:rPr>
          <w:lang w:val="en-NZ"/>
        </w:rPr>
      </w:pPr>
      <w:r w:rsidRPr="00DB433A">
        <w:rPr>
          <w:lang w:val="en-NZ"/>
        </w:rPr>
        <w:t>While lower decile schools tend to have less locally raised funds than higher decile schools, all deciles are represented across the spectrum – i.e. some lower decile schools have relatively high locally raised funds per students, and some higher decile schools have relatively low locally raised funds per student.</w:t>
      </w:r>
    </w:p>
    <w:p w:rsidR="00287604" w:rsidRPr="00DB433A" w:rsidRDefault="00287604" w:rsidP="00287604">
      <w:pPr>
        <w:pStyle w:val="Heading1BlueNumbered"/>
        <w:numPr>
          <w:ilvl w:val="0"/>
          <w:numId w:val="0"/>
        </w:numPr>
        <w:ind w:left="851" w:hanging="851"/>
      </w:pPr>
      <w:r w:rsidRPr="00DB433A">
        <w:t>International student income</w:t>
      </w:r>
    </w:p>
    <w:p w:rsidR="00807B04" w:rsidRDefault="00807B04" w:rsidP="00807B04">
      <w:pPr>
        <w:rPr>
          <w:lang w:val="en-NZ"/>
        </w:rPr>
      </w:pPr>
      <w:r w:rsidRPr="00DB433A">
        <w:rPr>
          <w:lang w:val="en-NZ"/>
        </w:rPr>
        <w:t>For some schools, the ability to generate additional income from international students creates opportunities that benefit all of their students. While accounting practices to reflect the costs of international students vary, most schools with international students are able to invest surplus revenue into additional resources for all students.</w:t>
      </w:r>
    </w:p>
    <w:p w:rsidR="00807B04" w:rsidRDefault="00807B04" w:rsidP="00807B04">
      <w:pPr>
        <w:rPr>
          <w:noProof/>
          <w:lang w:val="en-NZ" w:eastAsia="en-NZ"/>
        </w:rPr>
      </w:pPr>
      <w:r>
        <w:rPr>
          <w:noProof/>
          <w:lang w:val="en-NZ" w:eastAsia="en-NZ"/>
        </w:rPr>
        <w:t xml:space="preserve">Through our reviews of the financial statements and interviews with some of these schools, we believe </w:t>
      </w:r>
      <w:r w:rsidRPr="00DB433A">
        <w:rPr>
          <w:lang w:val="en-NZ"/>
        </w:rPr>
        <w:t>accounting practices to reflect the costs of international students vary</w:t>
      </w:r>
      <w:r>
        <w:rPr>
          <w:lang w:val="en-NZ"/>
        </w:rPr>
        <w:t xml:space="preserve">. </w:t>
      </w:r>
      <w:r>
        <w:rPr>
          <w:noProof/>
          <w:lang w:val="en-NZ" w:eastAsia="en-NZ"/>
        </w:rPr>
        <w:t xml:space="preserve">We believe the surplus generally reflects direct incremental costs only and does </w:t>
      </w:r>
      <w:r w:rsidRPr="000C27B8">
        <w:rPr>
          <w:noProof/>
          <w:u w:val="single"/>
          <w:lang w:val="en-NZ" w:eastAsia="en-NZ"/>
        </w:rPr>
        <w:t>not</w:t>
      </w:r>
      <w:r>
        <w:rPr>
          <w:noProof/>
          <w:lang w:val="en-NZ" w:eastAsia="en-NZ"/>
        </w:rPr>
        <w:t xml:space="preserve"> include:</w:t>
      </w:r>
    </w:p>
    <w:p w:rsidR="00807B04" w:rsidRDefault="00807B04" w:rsidP="00807B04">
      <w:pPr>
        <w:pStyle w:val="ListParagraph"/>
        <w:numPr>
          <w:ilvl w:val="0"/>
          <w:numId w:val="43"/>
        </w:numPr>
        <w:rPr>
          <w:noProof/>
          <w:lang w:val="en-NZ" w:eastAsia="en-NZ"/>
        </w:rPr>
      </w:pPr>
      <w:r>
        <w:rPr>
          <w:lang w:val="en-NZ"/>
        </w:rPr>
        <w:t>I</w:t>
      </w:r>
      <w:r w:rsidRPr="000C27B8">
        <w:rPr>
          <w:lang w:val="en-NZ"/>
        </w:rPr>
        <w:t>nfrastructure</w:t>
      </w:r>
      <w:r>
        <w:rPr>
          <w:lang w:val="en-NZ"/>
        </w:rPr>
        <w:t xml:space="preserve"> costs – e.g. capacity / buildings required to accommodate international student numbers</w:t>
      </w:r>
    </w:p>
    <w:p w:rsidR="00807B04" w:rsidRPr="000C27B8" w:rsidRDefault="00807B04" w:rsidP="00807B04">
      <w:pPr>
        <w:pStyle w:val="ListParagraph"/>
        <w:numPr>
          <w:ilvl w:val="0"/>
          <w:numId w:val="43"/>
        </w:numPr>
        <w:rPr>
          <w:noProof/>
          <w:lang w:val="en-NZ" w:eastAsia="en-NZ"/>
        </w:rPr>
      </w:pPr>
      <w:r>
        <w:rPr>
          <w:lang w:val="en-NZ"/>
        </w:rPr>
        <w:t>Teaching costs – i.e. the additional teachers needed by a school or across the sector to teach international students</w:t>
      </w:r>
    </w:p>
    <w:p w:rsidR="00807B04" w:rsidRDefault="00807B04" w:rsidP="00807B04">
      <w:pPr>
        <w:rPr>
          <w:lang w:val="en-NZ"/>
        </w:rPr>
      </w:pPr>
      <w:r>
        <w:rPr>
          <w:lang w:val="en-NZ"/>
        </w:rPr>
        <w:t>If the above were taken into account, the surplus on international students is likely to be significantly smaller.</w:t>
      </w:r>
    </w:p>
    <w:p w:rsidR="00287604" w:rsidRPr="00DB433A" w:rsidRDefault="00287604" w:rsidP="00287604">
      <w:pPr>
        <w:pStyle w:val="Heading1BlueNumbered"/>
        <w:numPr>
          <w:ilvl w:val="0"/>
          <w:numId w:val="0"/>
        </w:numPr>
        <w:ind w:left="851" w:hanging="851"/>
      </w:pPr>
      <w:r w:rsidRPr="00DB433A">
        <w:lastRenderedPageBreak/>
        <w:t xml:space="preserve">Cash </w:t>
      </w:r>
      <w:r>
        <w:t>reserves</w:t>
      </w:r>
    </w:p>
    <w:p w:rsidR="00287604" w:rsidRDefault="00287604" w:rsidP="00287604">
      <w:pPr>
        <w:rPr>
          <w:lang w:val="en-NZ"/>
        </w:rPr>
      </w:pPr>
      <w:r w:rsidRPr="00DB433A">
        <w:rPr>
          <w:lang w:val="en-NZ"/>
        </w:rPr>
        <w:t xml:space="preserve">While </w:t>
      </w:r>
      <w:r>
        <w:rPr>
          <w:lang w:val="en-NZ"/>
        </w:rPr>
        <w:t>there are a number of schools that have significant cash balances, there are very few that might be considered “cash-rich” when taking financial considerations such as working capital and liquidity requirements into account.</w:t>
      </w:r>
    </w:p>
    <w:p w:rsidR="00287604" w:rsidRPr="00DB433A" w:rsidRDefault="00287604" w:rsidP="00287604">
      <w:pPr>
        <w:pStyle w:val="Sectionintro"/>
        <w:rPr>
          <w:lang w:val="en-NZ"/>
        </w:rPr>
      </w:pPr>
      <w:r w:rsidRPr="00DB433A">
        <w:rPr>
          <w:lang w:val="en-NZ"/>
        </w:rPr>
        <w:t>Overall composition of funding</w:t>
      </w:r>
    </w:p>
    <w:p w:rsidR="00287604" w:rsidRDefault="00287604" w:rsidP="00287604">
      <w:pPr>
        <w:rPr>
          <w:lang w:val="en-NZ"/>
        </w:rPr>
      </w:pPr>
      <w:r w:rsidRPr="00DB433A">
        <w:rPr>
          <w:lang w:val="en-NZ"/>
        </w:rPr>
        <w:t>The majority of schools’ funding comes from Government, with the Teachers Salaries Grant the greatest single source.</w:t>
      </w:r>
    </w:p>
    <w:p w:rsidR="00287604" w:rsidRDefault="00287604" w:rsidP="00287604">
      <w:pPr>
        <w:rPr>
          <w:lang w:val="en-NZ"/>
        </w:rPr>
      </w:pPr>
      <w:r>
        <w:rPr>
          <w:lang w:val="en-NZ"/>
        </w:rPr>
        <w:t xml:space="preserve">The charts below show the composition of </w:t>
      </w:r>
      <w:r w:rsidR="00941E2B">
        <w:rPr>
          <w:lang w:val="en-NZ"/>
        </w:rPr>
        <w:t xml:space="preserve">total gross </w:t>
      </w:r>
      <w:r>
        <w:rPr>
          <w:lang w:val="en-NZ"/>
        </w:rPr>
        <w:t>funding for the schools in our sample of FIDS information.</w:t>
      </w:r>
      <w:r w:rsidR="002B44C6">
        <w:rPr>
          <w:lang w:val="en-NZ"/>
        </w:rPr>
        <w:t xml:space="preserve"> Note school funding can vary by scope of operations</w:t>
      </w:r>
      <w:r w:rsidR="00D00946">
        <w:rPr>
          <w:lang w:val="en-NZ"/>
        </w:rPr>
        <w:t>, including the extent to which schools educate international students, school hostel facilities and direct provision of school transport</w:t>
      </w:r>
      <w:r w:rsidR="002B44C6">
        <w:rPr>
          <w:lang w:val="en-NZ"/>
        </w:rPr>
        <w:t>.</w:t>
      </w:r>
    </w:p>
    <w:p w:rsidR="00287604" w:rsidRDefault="00287604" w:rsidP="00287604">
      <w:pPr>
        <w:pStyle w:val="Heading1BlueNumbered"/>
        <w:numPr>
          <w:ilvl w:val="0"/>
          <w:numId w:val="0"/>
        </w:numPr>
        <w:ind w:left="851" w:hanging="851"/>
      </w:pPr>
      <w:r>
        <w:t>All schools</w:t>
      </w:r>
      <w:r w:rsidR="00C6544A">
        <w:t xml:space="preserve"> (2,136 schools)</w:t>
      </w:r>
    </w:p>
    <w:p w:rsidR="00C6544A" w:rsidRPr="00C6544A" w:rsidRDefault="00C6544A" w:rsidP="00C6544A">
      <w:pPr>
        <w:rPr>
          <w:lang w:val="en-NZ"/>
        </w:rPr>
      </w:pPr>
    </w:p>
    <w:p w:rsidR="00287604" w:rsidRPr="00DB433A" w:rsidRDefault="00287604" w:rsidP="00287604">
      <w:pPr>
        <w:rPr>
          <w:lang w:val="en-NZ"/>
        </w:rPr>
      </w:pPr>
      <w:r>
        <w:rPr>
          <w:noProof/>
          <w:lang w:val="en-NZ" w:eastAsia="en-NZ"/>
        </w:rPr>
        <w:drawing>
          <wp:inline distT="0" distB="0" distL="0" distR="0">
            <wp:extent cx="4071620" cy="2079014"/>
            <wp:effectExtent l="0" t="0" r="508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87604" w:rsidRDefault="00287604" w:rsidP="00287604">
      <w:pPr>
        <w:rPr>
          <w:lang w:val="en-NZ"/>
        </w:rPr>
      </w:pPr>
      <w:r>
        <w:rPr>
          <w:lang w:val="en-NZ"/>
        </w:rPr>
        <w:t>Teachers salaries grants is the revenue category schools use to account for the Ministry’s FTTE entitlement and makes up just over half of total funding.</w:t>
      </w:r>
    </w:p>
    <w:p w:rsidR="00287604" w:rsidRDefault="00287604" w:rsidP="00287604">
      <w:pPr>
        <w:rPr>
          <w:lang w:val="en-NZ"/>
        </w:rPr>
      </w:pPr>
      <w:r>
        <w:rPr>
          <w:lang w:val="en-NZ"/>
        </w:rPr>
        <w:t>“Use of land and buildings” is a grant schools do not receive in cash or have discretion in how to use</w:t>
      </w:r>
      <w:r w:rsidR="000F294D">
        <w:rPr>
          <w:lang w:val="en-NZ"/>
        </w:rPr>
        <w:t xml:space="preserve">. It is a charge for school property that reflects depreciation and the cost of capital of the government’s investment in </w:t>
      </w:r>
      <w:r>
        <w:rPr>
          <w:lang w:val="en-NZ"/>
        </w:rPr>
        <w:t>school property.</w:t>
      </w:r>
    </w:p>
    <w:p w:rsidR="002776B8" w:rsidRDefault="002776B8" w:rsidP="00287604">
      <w:pPr>
        <w:rPr>
          <w:lang w:val="en-NZ"/>
        </w:rPr>
      </w:pPr>
    </w:p>
    <w:p w:rsidR="002776B8" w:rsidRDefault="002776B8" w:rsidP="00287604">
      <w:pPr>
        <w:rPr>
          <w:lang w:val="en-NZ"/>
        </w:rPr>
      </w:pPr>
    </w:p>
    <w:p w:rsidR="002776B8" w:rsidRDefault="002776B8" w:rsidP="00287604">
      <w:pPr>
        <w:rPr>
          <w:lang w:val="en-NZ"/>
        </w:rPr>
      </w:pPr>
    </w:p>
    <w:p w:rsidR="002776B8" w:rsidRDefault="002776B8" w:rsidP="00287604">
      <w:pPr>
        <w:rPr>
          <w:lang w:val="en-NZ"/>
        </w:rPr>
      </w:pPr>
    </w:p>
    <w:p w:rsidR="002776B8" w:rsidRDefault="002776B8" w:rsidP="00287604">
      <w:pPr>
        <w:rPr>
          <w:lang w:val="en-NZ"/>
        </w:rPr>
      </w:pPr>
    </w:p>
    <w:p w:rsidR="002776B8" w:rsidRDefault="002776B8" w:rsidP="00287604">
      <w:pPr>
        <w:rPr>
          <w:lang w:val="en-NZ"/>
        </w:rPr>
      </w:pPr>
    </w:p>
    <w:p w:rsidR="002776B8" w:rsidRDefault="002776B8" w:rsidP="00287604">
      <w:pPr>
        <w:rPr>
          <w:lang w:val="en-NZ"/>
        </w:rPr>
      </w:pPr>
    </w:p>
    <w:p w:rsidR="00287604" w:rsidRDefault="00287604" w:rsidP="001E5968">
      <w:pPr>
        <w:pStyle w:val="Heading1BlueNumbered"/>
        <w:numPr>
          <w:ilvl w:val="0"/>
          <w:numId w:val="0"/>
        </w:numPr>
        <w:spacing w:after="240"/>
        <w:ind w:left="851" w:hanging="851"/>
      </w:pPr>
      <w:r w:rsidRPr="00DB433A">
        <w:lastRenderedPageBreak/>
        <w:t>Primary and intermediate schools</w:t>
      </w:r>
      <w:r w:rsidR="00745399">
        <w:t xml:space="preserve"> (1,751 </w:t>
      </w:r>
      <w:r w:rsidR="002D2084">
        <w:t>schools</w:t>
      </w:r>
      <w:r w:rsidR="00745399">
        <w:t>)</w:t>
      </w:r>
    </w:p>
    <w:p w:rsidR="00287604" w:rsidRPr="00AF048D" w:rsidRDefault="00287604" w:rsidP="00287604">
      <w:pPr>
        <w:rPr>
          <w:lang w:val="en-NZ"/>
        </w:rPr>
      </w:pPr>
      <w:r>
        <w:rPr>
          <w:noProof/>
          <w:lang w:val="en-NZ" w:eastAsia="en-NZ"/>
        </w:rPr>
        <w:drawing>
          <wp:inline distT="0" distB="0" distL="0" distR="0">
            <wp:extent cx="4209690" cy="1871932"/>
            <wp:effectExtent l="0" t="0" r="63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87604" w:rsidRDefault="00287604" w:rsidP="00287604">
      <w:pPr>
        <w:rPr>
          <w:lang w:val="en-NZ"/>
        </w:rPr>
      </w:pPr>
      <w:r>
        <w:rPr>
          <w:lang w:val="en-NZ"/>
        </w:rPr>
        <w:t>For primary and intermediate schools, the proportion of funding from government across the various grants is greater than average (around 92%), with very little income from international students.</w:t>
      </w:r>
    </w:p>
    <w:p w:rsidR="00287604" w:rsidRDefault="00287604" w:rsidP="001E5968">
      <w:pPr>
        <w:pStyle w:val="Heading1BlueNumbered"/>
        <w:numPr>
          <w:ilvl w:val="0"/>
          <w:numId w:val="0"/>
        </w:numPr>
        <w:spacing w:after="240"/>
        <w:ind w:left="851" w:hanging="851"/>
      </w:pPr>
      <w:r w:rsidRPr="00DB433A">
        <w:t>Secondary schools</w:t>
      </w:r>
      <w:r w:rsidR="00745399">
        <w:t xml:space="preserve"> (262 schools)</w:t>
      </w:r>
    </w:p>
    <w:p w:rsidR="00287604" w:rsidRPr="00AF048D" w:rsidRDefault="00287604" w:rsidP="00287604">
      <w:pPr>
        <w:rPr>
          <w:lang w:val="en-NZ"/>
        </w:rPr>
      </w:pPr>
      <w:r>
        <w:rPr>
          <w:noProof/>
          <w:lang w:val="en-NZ" w:eastAsia="en-NZ"/>
        </w:rPr>
        <w:drawing>
          <wp:inline distT="0" distB="0" distL="0" distR="0">
            <wp:extent cx="4063041" cy="1802921"/>
            <wp:effectExtent l="0" t="0" r="0" b="698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7604" w:rsidRDefault="00287604" w:rsidP="00287604">
      <w:pPr>
        <w:rPr>
          <w:lang w:val="en-NZ"/>
        </w:rPr>
      </w:pPr>
      <w:r>
        <w:rPr>
          <w:lang w:val="en-NZ"/>
        </w:rPr>
        <w:t>For secondary schools, the proportion of funding from government across the various grants is lower than average (around 85%), with more significant income from international students.</w:t>
      </w:r>
    </w:p>
    <w:p w:rsidR="00287604" w:rsidRDefault="00287604" w:rsidP="001E5968">
      <w:pPr>
        <w:pStyle w:val="Heading1BlueNumbered"/>
        <w:numPr>
          <w:ilvl w:val="0"/>
          <w:numId w:val="0"/>
        </w:numPr>
        <w:spacing w:after="240"/>
        <w:ind w:left="851" w:hanging="851"/>
      </w:pPr>
      <w:r w:rsidRPr="00DB433A">
        <w:t>Other schools</w:t>
      </w:r>
      <w:r w:rsidR="00745399">
        <w:t xml:space="preserve"> (96 Composite and 27 Special Schools)</w:t>
      </w:r>
    </w:p>
    <w:p w:rsidR="00287604" w:rsidRDefault="00287604" w:rsidP="00287604">
      <w:pPr>
        <w:rPr>
          <w:lang w:val="en-NZ"/>
        </w:rPr>
      </w:pPr>
      <w:r>
        <w:rPr>
          <w:noProof/>
          <w:lang w:val="en-NZ" w:eastAsia="en-NZ"/>
        </w:rPr>
        <w:drawing>
          <wp:inline distT="0" distB="0" distL="0" distR="0">
            <wp:extent cx="4410075" cy="1906438"/>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7604" w:rsidRPr="00AF048D" w:rsidRDefault="00287604" w:rsidP="00287604">
      <w:pPr>
        <w:rPr>
          <w:lang w:val="en-NZ"/>
        </w:rPr>
      </w:pPr>
    </w:p>
    <w:p w:rsidR="00FA6ABC" w:rsidRDefault="001A0960" w:rsidP="00FA6ABC">
      <w:pPr>
        <w:rPr>
          <w:lang w:val="en-NZ"/>
        </w:rPr>
      </w:pPr>
      <w:r>
        <w:rPr>
          <w:lang w:val="en-NZ"/>
        </w:rPr>
        <w:lastRenderedPageBreak/>
        <w:t>The pattern for composite schools is similar to the overall average, with somewhat greater proportion through the Operations Grant.</w:t>
      </w:r>
    </w:p>
    <w:p w:rsidR="00287604" w:rsidRDefault="00287604" w:rsidP="00287604">
      <w:pPr>
        <w:rPr>
          <w:lang w:val="en-NZ"/>
        </w:rPr>
      </w:pPr>
      <w:r>
        <w:rPr>
          <w:noProof/>
          <w:lang w:val="en-NZ" w:eastAsia="en-NZ"/>
        </w:rPr>
        <w:drawing>
          <wp:inline distT="0" distB="0" distL="0" distR="0">
            <wp:extent cx="4410075" cy="2061713"/>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0960" w:rsidRDefault="00F72F9B" w:rsidP="001A0960">
      <w:pPr>
        <w:rPr>
          <w:lang w:val="en-NZ"/>
        </w:rPr>
      </w:pPr>
      <w:r>
        <w:rPr>
          <w:lang w:val="en-NZ"/>
        </w:rPr>
        <w:t>Special schools receive significant other government grants, targeted at the particular needs of their students.</w:t>
      </w:r>
    </w:p>
    <w:p w:rsidR="00C94471" w:rsidRDefault="00C94471" w:rsidP="001A0960">
      <w:pPr>
        <w:rPr>
          <w:lang w:val="en-NZ"/>
        </w:rPr>
      </w:pPr>
    </w:p>
    <w:p w:rsidR="00287604" w:rsidRPr="00DB433A" w:rsidRDefault="00287604" w:rsidP="00287604">
      <w:pPr>
        <w:pStyle w:val="Sectionintro"/>
        <w:rPr>
          <w:lang w:val="en-NZ"/>
        </w:rPr>
      </w:pPr>
      <w:r w:rsidRPr="00DB433A">
        <w:rPr>
          <w:lang w:val="en-NZ"/>
        </w:rPr>
        <w:t>Government funding per student</w:t>
      </w:r>
    </w:p>
    <w:p w:rsidR="00287604" w:rsidRPr="00DB433A" w:rsidRDefault="00287604" w:rsidP="00287604">
      <w:pPr>
        <w:rPr>
          <w:lang w:val="en-NZ"/>
        </w:rPr>
      </w:pPr>
      <w:r w:rsidRPr="00DB433A">
        <w:rPr>
          <w:lang w:val="en-NZ"/>
        </w:rPr>
        <w:t xml:space="preserve">This section </w:t>
      </w:r>
      <w:r>
        <w:rPr>
          <w:lang w:val="en-NZ"/>
        </w:rPr>
        <w:t>provides</w:t>
      </w:r>
      <w:r w:rsidRPr="00DB433A">
        <w:rPr>
          <w:lang w:val="en-NZ"/>
        </w:rPr>
        <w:t xml:space="preserve"> analysis of total Government funding (i.e. including all grants) per local student (i.e. excluding international students who are not included in the funding formulae).</w:t>
      </w:r>
    </w:p>
    <w:p w:rsidR="00287604" w:rsidRDefault="00287604" w:rsidP="00287604">
      <w:pPr>
        <w:pStyle w:val="Heading1BlueNumbered"/>
        <w:numPr>
          <w:ilvl w:val="0"/>
          <w:numId w:val="0"/>
        </w:numPr>
        <w:ind w:left="851" w:hanging="851"/>
      </w:pPr>
      <w:r>
        <w:t>All schools</w:t>
      </w:r>
    </w:p>
    <w:p w:rsidR="00287604" w:rsidRDefault="00287604" w:rsidP="00287604">
      <w:pPr>
        <w:rPr>
          <w:lang w:val="en-NZ"/>
        </w:rPr>
      </w:pPr>
      <w:r>
        <w:rPr>
          <w:lang w:val="en-NZ"/>
        </w:rPr>
        <w:t>The distribution of government funding per student is quite broad, reflecting the diverse nature of schools and the range of factors the Ministry takes into account to determine funding.</w:t>
      </w:r>
    </w:p>
    <w:p w:rsidR="00287604" w:rsidRDefault="00024316" w:rsidP="004B33E5">
      <w:pPr>
        <w:spacing w:after="0"/>
        <w:rPr>
          <w:lang w:val="en-NZ"/>
        </w:rPr>
      </w:pPr>
      <w:r>
        <w:rPr>
          <w:noProof/>
          <w:lang w:val="en-NZ" w:eastAsia="en-NZ"/>
        </w:rPr>
        <w:drawing>
          <wp:inline distT="0" distB="0" distL="0" distR="0">
            <wp:extent cx="3642803" cy="2321719"/>
            <wp:effectExtent l="0" t="0" r="0" b="25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33E5" w:rsidRPr="004B33E5" w:rsidRDefault="004B33E5" w:rsidP="004B33E5">
      <w:pPr>
        <w:jc w:val="right"/>
        <w:rPr>
          <w:i/>
          <w:lang w:val="en-NZ"/>
        </w:rPr>
      </w:pPr>
      <w:r w:rsidRPr="004B33E5">
        <w:rPr>
          <w:i/>
          <w:lang w:val="en-NZ"/>
        </w:rPr>
        <w:t xml:space="preserve">FIDS data and </w:t>
      </w:r>
      <w:r w:rsidR="00C83873">
        <w:rPr>
          <w:i/>
          <w:lang w:val="en-NZ"/>
        </w:rPr>
        <w:t>S</w:t>
      </w:r>
      <w:r w:rsidRPr="004B33E5">
        <w:rPr>
          <w:i/>
          <w:lang w:val="en-NZ"/>
        </w:rPr>
        <w:t xml:space="preserve">chool </w:t>
      </w:r>
      <w:r w:rsidR="00C83873">
        <w:rPr>
          <w:i/>
          <w:lang w:val="en-NZ"/>
        </w:rPr>
        <w:t>Directory</w:t>
      </w:r>
      <w:r w:rsidR="00A678C1">
        <w:rPr>
          <w:i/>
          <w:lang w:val="en-NZ"/>
        </w:rPr>
        <w:t>, 2,135</w:t>
      </w:r>
      <w:r w:rsidRPr="004B33E5">
        <w:rPr>
          <w:i/>
          <w:lang w:val="en-NZ"/>
        </w:rPr>
        <w:t xml:space="preserve"> schools</w:t>
      </w:r>
    </w:p>
    <w:p w:rsidR="00A512B9" w:rsidRDefault="00287604" w:rsidP="00287604">
      <w:pPr>
        <w:rPr>
          <w:lang w:val="en-NZ"/>
        </w:rPr>
      </w:pPr>
      <w:r w:rsidRPr="00BD524D">
        <w:rPr>
          <w:lang w:val="en-NZ"/>
        </w:rPr>
        <w:t>The chart above includes the Use of Land and Buildings grant for completeness. However, we have excluded that grant for the analyses by type of school below, as schools do not have discretion in how to use it.</w:t>
      </w:r>
    </w:p>
    <w:p w:rsidR="00287604" w:rsidRDefault="00287604" w:rsidP="00287604">
      <w:pPr>
        <w:rPr>
          <w:lang w:val="en-NZ"/>
        </w:rPr>
      </w:pPr>
      <w:r>
        <w:rPr>
          <w:lang w:val="en-NZ"/>
        </w:rPr>
        <w:lastRenderedPageBreak/>
        <w:t xml:space="preserve">The sections below also </w:t>
      </w:r>
      <w:r w:rsidR="00A512B9">
        <w:rPr>
          <w:lang w:val="en-NZ"/>
        </w:rPr>
        <w:t>discuss</w:t>
      </w:r>
      <w:r>
        <w:rPr>
          <w:lang w:val="en-NZ"/>
        </w:rPr>
        <w:t xml:space="preserve"> the large “tail” of very high per-student funding. Significant differences in per-student funding come about predominantly from:</w:t>
      </w:r>
    </w:p>
    <w:p w:rsidR="00287604" w:rsidRDefault="00287604" w:rsidP="00287604">
      <w:pPr>
        <w:pStyle w:val="ListParagraph"/>
        <w:numPr>
          <w:ilvl w:val="0"/>
          <w:numId w:val="37"/>
        </w:numPr>
        <w:rPr>
          <w:lang w:val="en-NZ"/>
        </w:rPr>
      </w:pPr>
      <w:r>
        <w:rPr>
          <w:lang w:val="en-NZ"/>
        </w:rPr>
        <w:t>School size</w:t>
      </w:r>
    </w:p>
    <w:p w:rsidR="00287604" w:rsidRDefault="00287604" w:rsidP="00287604">
      <w:pPr>
        <w:pStyle w:val="ListParagraph"/>
        <w:numPr>
          <w:ilvl w:val="0"/>
          <w:numId w:val="37"/>
        </w:numPr>
        <w:rPr>
          <w:lang w:val="en-NZ"/>
        </w:rPr>
      </w:pPr>
      <w:r>
        <w:rPr>
          <w:lang w:val="en-NZ"/>
        </w:rPr>
        <w:t>Targeted funding for students with particular needs</w:t>
      </w:r>
    </w:p>
    <w:p w:rsidR="008C7BB9" w:rsidRDefault="008C7BB9" w:rsidP="008C7BB9">
      <w:pPr>
        <w:pStyle w:val="ListParagraph"/>
        <w:numPr>
          <w:ilvl w:val="0"/>
          <w:numId w:val="37"/>
        </w:numPr>
        <w:rPr>
          <w:lang w:val="en-NZ"/>
        </w:rPr>
      </w:pPr>
      <w:r>
        <w:rPr>
          <w:lang w:val="en-NZ"/>
        </w:rPr>
        <w:t>Special programmes or additional responsibilities</w:t>
      </w:r>
    </w:p>
    <w:p w:rsidR="00287604" w:rsidRDefault="00287604" w:rsidP="00287604">
      <w:pPr>
        <w:pStyle w:val="ListParagraph"/>
        <w:numPr>
          <w:ilvl w:val="0"/>
          <w:numId w:val="37"/>
        </w:numPr>
        <w:rPr>
          <w:lang w:val="en-NZ"/>
        </w:rPr>
      </w:pPr>
      <w:r>
        <w:rPr>
          <w:lang w:val="en-NZ"/>
        </w:rPr>
        <w:t>Maori Immersion</w:t>
      </w:r>
    </w:p>
    <w:p w:rsidR="00287604" w:rsidRPr="00DB433A" w:rsidRDefault="00287604" w:rsidP="00287604">
      <w:pPr>
        <w:pStyle w:val="Heading1BlueNumbered"/>
        <w:numPr>
          <w:ilvl w:val="0"/>
          <w:numId w:val="0"/>
        </w:numPr>
        <w:ind w:left="851" w:hanging="851"/>
      </w:pPr>
      <w:r w:rsidRPr="00DB433A">
        <w:t>Primary and intermediate schools</w:t>
      </w:r>
    </w:p>
    <w:p w:rsidR="00287604" w:rsidRDefault="00287604" w:rsidP="00287604">
      <w:pPr>
        <w:rPr>
          <w:lang w:val="en-NZ"/>
        </w:rPr>
      </w:pPr>
      <w:r>
        <w:rPr>
          <w:lang w:val="en-NZ"/>
        </w:rPr>
        <w:t xml:space="preserve">Most of these schools receive between </w:t>
      </w:r>
      <w:r w:rsidRPr="00B45AF4">
        <w:rPr>
          <w:lang w:val="en-NZ"/>
        </w:rPr>
        <w:t>$5,</w:t>
      </w:r>
      <w:r w:rsidR="00B45AF4">
        <w:rPr>
          <w:lang w:val="en-NZ"/>
        </w:rPr>
        <w:t>0</w:t>
      </w:r>
      <w:r w:rsidRPr="00B45AF4">
        <w:rPr>
          <w:lang w:val="en-NZ"/>
        </w:rPr>
        <w:t>00 and $7,000</w:t>
      </w:r>
      <w:r>
        <w:rPr>
          <w:lang w:val="en-NZ"/>
        </w:rPr>
        <w:t xml:space="preserve"> per-student funding.</w:t>
      </w:r>
    </w:p>
    <w:p w:rsidR="00287604" w:rsidRDefault="00435E9B" w:rsidP="00C83873">
      <w:pPr>
        <w:spacing w:after="0"/>
        <w:rPr>
          <w:lang w:val="en-NZ"/>
        </w:rPr>
      </w:pPr>
      <w:r>
        <w:rPr>
          <w:noProof/>
          <w:lang w:val="en-NZ" w:eastAsia="en-NZ"/>
        </w:rPr>
        <w:drawing>
          <wp:inline distT="0" distB="0" distL="0" distR="0">
            <wp:extent cx="4063041" cy="2234242"/>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3873" w:rsidRPr="004B33E5" w:rsidRDefault="00C83873" w:rsidP="00C83873">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1,751</w:t>
      </w:r>
      <w:r w:rsidRPr="004B33E5">
        <w:rPr>
          <w:i/>
          <w:lang w:val="en-NZ"/>
        </w:rPr>
        <w:t xml:space="preserve"> schools</w:t>
      </w:r>
    </w:p>
    <w:p w:rsidR="00287604" w:rsidRPr="009745AB" w:rsidRDefault="00287604" w:rsidP="00287604">
      <w:pPr>
        <w:rPr>
          <w:lang w:val="en-NZ"/>
        </w:rPr>
      </w:pPr>
      <w:r w:rsidRPr="009745AB">
        <w:rPr>
          <w:lang w:val="en-NZ"/>
        </w:rPr>
        <w:t>Of the schools with very high per-student funding (over $9500 per student), 83% are very small (</w:t>
      </w:r>
      <w:r w:rsidR="00CE2011">
        <w:rPr>
          <w:lang w:val="en-NZ"/>
        </w:rPr>
        <w:t xml:space="preserve">up to </w:t>
      </w:r>
      <w:r w:rsidRPr="009745AB">
        <w:rPr>
          <w:lang w:val="en-NZ"/>
        </w:rPr>
        <w:t>50 students)</w:t>
      </w:r>
      <w:r w:rsidR="00827A1B">
        <w:rPr>
          <w:lang w:val="en-NZ"/>
        </w:rPr>
        <w:t>.</w:t>
      </w:r>
    </w:p>
    <w:p w:rsidR="00287604" w:rsidRPr="000B3C1A" w:rsidRDefault="00287604" w:rsidP="00287604">
      <w:pPr>
        <w:rPr>
          <w:lang w:val="en-NZ"/>
        </w:rPr>
      </w:pPr>
      <w:r w:rsidRPr="009745AB">
        <w:rPr>
          <w:lang w:val="en-NZ"/>
        </w:rPr>
        <w:t>The other 17% is mainly made up of a mix of lower decile (1-3) schools, Maori Medium schools and rural schools</w:t>
      </w:r>
      <w:r w:rsidR="009745AB" w:rsidRPr="009745AB">
        <w:rPr>
          <w:lang w:val="en-NZ"/>
        </w:rPr>
        <w:t xml:space="preserve"> with more than 50 students</w:t>
      </w:r>
      <w:r w:rsidRPr="009745AB">
        <w:rPr>
          <w:lang w:val="en-NZ"/>
        </w:rPr>
        <w:t>.</w:t>
      </w:r>
    </w:p>
    <w:p w:rsidR="00287604" w:rsidRPr="00DB433A" w:rsidRDefault="00287604" w:rsidP="00287604">
      <w:pPr>
        <w:pStyle w:val="Heading1BlueNumbered"/>
        <w:numPr>
          <w:ilvl w:val="0"/>
          <w:numId w:val="0"/>
        </w:numPr>
        <w:ind w:left="851" w:hanging="851"/>
      </w:pPr>
      <w:r w:rsidRPr="00DB433A">
        <w:t>Secondary schools</w:t>
      </w:r>
    </w:p>
    <w:p w:rsidR="00287604" w:rsidRDefault="00287604" w:rsidP="00287604">
      <w:pPr>
        <w:rPr>
          <w:lang w:val="en-NZ"/>
        </w:rPr>
      </w:pPr>
      <w:r>
        <w:rPr>
          <w:lang w:val="en-NZ"/>
        </w:rPr>
        <w:t xml:space="preserve">Most of these schools receive between </w:t>
      </w:r>
      <w:r w:rsidRPr="009745AB">
        <w:rPr>
          <w:lang w:val="en-NZ"/>
        </w:rPr>
        <w:t>$6,500 and $8,500 per-student funding.</w:t>
      </w:r>
    </w:p>
    <w:p w:rsidR="00287604" w:rsidRPr="00DB433A" w:rsidRDefault="00287604" w:rsidP="00C83873">
      <w:pPr>
        <w:spacing w:after="0"/>
        <w:rPr>
          <w:lang w:val="en-NZ"/>
        </w:rPr>
      </w:pPr>
      <w:r w:rsidRPr="00DB433A">
        <w:rPr>
          <w:lang w:val="en-NZ"/>
        </w:rPr>
        <w:t xml:space="preserve"> </w:t>
      </w:r>
      <w:r w:rsidR="00024316">
        <w:rPr>
          <w:noProof/>
          <w:lang w:val="en-NZ" w:eastAsia="en-NZ"/>
        </w:rPr>
        <w:drawing>
          <wp:inline distT="0" distB="0" distL="0" distR="0">
            <wp:extent cx="3642803" cy="22320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3873" w:rsidRPr="004B33E5" w:rsidRDefault="00C83873" w:rsidP="00C83873">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sidR="00A678C1">
        <w:rPr>
          <w:i/>
          <w:lang w:val="en-NZ"/>
        </w:rPr>
        <w:t>261</w:t>
      </w:r>
      <w:r w:rsidRPr="004B33E5">
        <w:rPr>
          <w:i/>
          <w:lang w:val="en-NZ"/>
        </w:rPr>
        <w:t xml:space="preserve"> schools</w:t>
      </w:r>
    </w:p>
    <w:p w:rsidR="009D62AB" w:rsidRDefault="00287604" w:rsidP="00287604">
      <w:pPr>
        <w:rPr>
          <w:lang w:val="en-NZ"/>
        </w:rPr>
      </w:pPr>
      <w:r w:rsidRPr="004B7C63">
        <w:rPr>
          <w:lang w:val="en-NZ"/>
        </w:rPr>
        <w:lastRenderedPageBreak/>
        <w:t>Of the schools with v</w:t>
      </w:r>
      <w:r w:rsidR="00ED5C5E">
        <w:rPr>
          <w:lang w:val="en-NZ"/>
        </w:rPr>
        <w:t>ery high per-student funding (2</w:t>
      </w:r>
      <w:r w:rsidR="00024316">
        <w:rPr>
          <w:lang w:val="en-NZ"/>
        </w:rPr>
        <w:t>5</w:t>
      </w:r>
      <w:r w:rsidRPr="004B7C63">
        <w:rPr>
          <w:lang w:val="en-NZ"/>
        </w:rPr>
        <w:t xml:space="preserve"> schools over $1</w:t>
      </w:r>
      <w:r w:rsidR="00ED5C5E">
        <w:rPr>
          <w:lang w:val="en-NZ"/>
        </w:rPr>
        <w:t>2,0</w:t>
      </w:r>
      <w:r w:rsidRPr="004B7C63">
        <w:rPr>
          <w:lang w:val="en-NZ"/>
        </w:rPr>
        <w:t xml:space="preserve">00 per student), </w:t>
      </w:r>
      <w:r w:rsidR="00CE2011">
        <w:rPr>
          <w:lang w:val="en-NZ"/>
        </w:rPr>
        <w:t>7</w:t>
      </w:r>
      <w:r w:rsidR="00024316">
        <w:rPr>
          <w:lang w:val="en-NZ"/>
        </w:rPr>
        <w:t>6</w:t>
      </w:r>
      <w:r w:rsidRPr="004B7C63">
        <w:rPr>
          <w:lang w:val="en-NZ"/>
        </w:rPr>
        <w:t xml:space="preserve">% </w:t>
      </w:r>
      <w:r w:rsidR="0011367C">
        <w:rPr>
          <w:lang w:val="en-NZ"/>
        </w:rPr>
        <w:t xml:space="preserve">(19) </w:t>
      </w:r>
      <w:r w:rsidRPr="004B7C63">
        <w:rPr>
          <w:lang w:val="en-NZ"/>
        </w:rPr>
        <w:t xml:space="preserve">are relatively small with roll sizes </w:t>
      </w:r>
      <w:r w:rsidR="0011367C">
        <w:rPr>
          <w:lang w:val="en-NZ"/>
        </w:rPr>
        <w:t>up to</w:t>
      </w:r>
      <w:r w:rsidRPr="004B7C63">
        <w:rPr>
          <w:lang w:val="en-NZ"/>
        </w:rPr>
        <w:t xml:space="preserve"> </w:t>
      </w:r>
      <w:r w:rsidR="004B7C63" w:rsidRPr="004B7C63">
        <w:rPr>
          <w:lang w:val="en-NZ"/>
        </w:rPr>
        <w:t>3</w:t>
      </w:r>
      <w:r w:rsidRPr="004B7C63">
        <w:rPr>
          <w:lang w:val="en-NZ"/>
        </w:rPr>
        <w:t>00 students</w:t>
      </w:r>
      <w:r w:rsidR="004B7C63" w:rsidRPr="004B7C63">
        <w:rPr>
          <w:lang w:val="en-NZ"/>
        </w:rPr>
        <w:t>.</w:t>
      </w:r>
      <w:r w:rsidR="00CE2011">
        <w:rPr>
          <w:lang w:val="en-NZ"/>
        </w:rPr>
        <w:t xml:space="preserve"> </w:t>
      </w:r>
      <w:r w:rsidR="00024316">
        <w:rPr>
          <w:lang w:val="en-NZ"/>
        </w:rPr>
        <w:t>None</w:t>
      </w:r>
      <w:r w:rsidR="004B7C63" w:rsidRPr="004B7C63">
        <w:rPr>
          <w:lang w:val="en-NZ"/>
        </w:rPr>
        <w:t xml:space="preserve"> of the other </w:t>
      </w:r>
      <w:r w:rsidR="00024316">
        <w:rPr>
          <w:lang w:val="en-NZ"/>
        </w:rPr>
        <w:t>six</w:t>
      </w:r>
      <w:r w:rsidR="004B7C63" w:rsidRPr="004B7C63">
        <w:rPr>
          <w:lang w:val="en-NZ"/>
        </w:rPr>
        <w:t xml:space="preserve"> schools has more than 400 students.</w:t>
      </w:r>
    </w:p>
    <w:p w:rsidR="00287604" w:rsidRPr="00DB433A" w:rsidRDefault="00287604" w:rsidP="00A512B9">
      <w:pPr>
        <w:pStyle w:val="Heading1BlueNumbered"/>
        <w:numPr>
          <w:ilvl w:val="0"/>
          <w:numId w:val="0"/>
        </w:numPr>
        <w:ind w:left="851" w:hanging="851"/>
      </w:pPr>
      <w:r w:rsidRPr="00DB433A">
        <w:t>Other schools</w:t>
      </w:r>
    </w:p>
    <w:p w:rsidR="00287604" w:rsidRPr="00791880" w:rsidRDefault="00304277" w:rsidP="00287604">
      <w:pPr>
        <w:rPr>
          <w:lang w:val="en-NZ"/>
        </w:rPr>
      </w:pPr>
      <w:r>
        <w:rPr>
          <w:lang w:val="en-NZ"/>
        </w:rPr>
        <w:t xml:space="preserve">Composite schools include area schools </w:t>
      </w:r>
      <w:r w:rsidR="00827A1B">
        <w:rPr>
          <w:lang w:val="en-NZ"/>
        </w:rPr>
        <w:t xml:space="preserve">as well as many </w:t>
      </w:r>
      <w:r>
        <w:rPr>
          <w:lang w:val="en-NZ"/>
        </w:rPr>
        <w:t xml:space="preserve">Maori Medium schools. </w:t>
      </w:r>
      <w:r w:rsidR="009D62AB">
        <w:rPr>
          <w:lang w:val="en-NZ"/>
        </w:rPr>
        <w:t xml:space="preserve">Of the schools with high per-student funding, </w:t>
      </w:r>
      <w:r w:rsidR="006B2706">
        <w:rPr>
          <w:lang w:val="en-NZ"/>
        </w:rPr>
        <w:t xml:space="preserve">one school </w:t>
      </w:r>
      <w:r w:rsidR="004A54A2">
        <w:rPr>
          <w:lang w:val="en-NZ"/>
        </w:rPr>
        <w:t>had 1</w:t>
      </w:r>
      <w:r w:rsidR="006B2706">
        <w:rPr>
          <w:lang w:val="en-NZ"/>
        </w:rPr>
        <w:t>14</w:t>
      </w:r>
      <w:r w:rsidR="004A54A2">
        <w:rPr>
          <w:lang w:val="en-NZ"/>
        </w:rPr>
        <w:t xml:space="preserve"> students </w:t>
      </w:r>
      <w:r w:rsidR="006B2706">
        <w:rPr>
          <w:lang w:val="en-NZ"/>
        </w:rPr>
        <w:t xml:space="preserve">and all others had </w:t>
      </w:r>
      <w:r w:rsidR="004A54A2">
        <w:rPr>
          <w:lang w:val="en-NZ"/>
        </w:rPr>
        <w:t xml:space="preserve">fewer </w:t>
      </w:r>
      <w:r w:rsidR="006B2706">
        <w:rPr>
          <w:lang w:val="en-NZ"/>
        </w:rPr>
        <w:t>than 90 students. T</w:t>
      </w:r>
      <w:r w:rsidR="004A54A2">
        <w:rPr>
          <w:lang w:val="en-NZ"/>
        </w:rPr>
        <w:t>he majority are also Maori Medium schools.</w:t>
      </w:r>
    </w:p>
    <w:p w:rsidR="00287604" w:rsidRDefault="006B2706" w:rsidP="005D6887">
      <w:pPr>
        <w:spacing w:after="0"/>
        <w:rPr>
          <w:lang w:val="en-NZ"/>
        </w:rPr>
      </w:pPr>
      <w:r>
        <w:rPr>
          <w:noProof/>
          <w:lang w:val="en-NZ" w:eastAsia="en-NZ"/>
        </w:rPr>
        <w:drawing>
          <wp:inline distT="0" distB="0" distL="0" distR="0">
            <wp:extent cx="3642803" cy="2321719"/>
            <wp:effectExtent l="0" t="0" r="0" b="25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6887" w:rsidRPr="004B33E5" w:rsidRDefault="005D6887" w:rsidP="005D6887">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96</w:t>
      </w:r>
      <w:r w:rsidRPr="004B33E5">
        <w:rPr>
          <w:i/>
          <w:lang w:val="en-NZ"/>
        </w:rPr>
        <w:t xml:space="preserve"> schools</w:t>
      </w:r>
    </w:p>
    <w:p w:rsidR="00AB19FB" w:rsidRDefault="00BE0FFE" w:rsidP="00F0563F">
      <w:pPr>
        <w:rPr>
          <w:lang w:val="en-NZ"/>
        </w:rPr>
      </w:pPr>
      <w:r>
        <w:rPr>
          <w:lang w:val="en-NZ"/>
        </w:rPr>
        <w:t xml:space="preserve">Special schools require more funding and resources than other schools. </w:t>
      </w:r>
      <w:r w:rsidR="00453F7C">
        <w:rPr>
          <w:lang w:val="en-NZ"/>
        </w:rPr>
        <w:t xml:space="preserve">Most are also </w:t>
      </w:r>
      <w:r w:rsidR="00FC0183">
        <w:rPr>
          <w:lang w:val="en-NZ"/>
        </w:rPr>
        <w:t>relatively</w:t>
      </w:r>
      <w:r w:rsidR="00453F7C">
        <w:rPr>
          <w:lang w:val="en-NZ"/>
        </w:rPr>
        <w:t xml:space="preserve"> small</w:t>
      </w:r>
      <w:r w:rsidR="00FC0183">
        <w:rPr>
          <w:lang w:val="en-NZ"/>
        </w:rPr>
        <w:t xml:space="preserve"> – the largest has nearly 200 students. </w:t>
      </w:r>
      <w:r w:rsidR="00F0563F">
        <w:rPr>
          <w:lang w:val="en-NZ"/>
        </w:rPr>
        <w:t>Because many of these schools also provide services to other schools (e.g. through outreach programmes) we do not have a meaningful funding per student metric available for comparison.</w:t>
      </w:r>
    </w:p>
    <w:p w:rsidR="00C94471" w:rsidRDefault="00C94471" w:rsidP="00F0563F">
      <w:pPr>
        <w:rPr>
          <w:lang w:val="en-NZ"/>
        </w:rPr>
      </w:pPr>
    </w:p>
    <w:p w:rsidR="00F008E4" w:rsidRDefault="00F008E4">
      <w:pPr>
        <w:spacing w:after="200" w:line="276" w:lineRule="auto"/>
        <w:rPr>
          <w:sz w:val="28"/>
          <w:lang w:val="en-NZ"/>
        </w:rPr>
      </w:pPr>
      <w:r>
        <w:rPr>
          <w:lang w:val="en-NZ"/>
        </w:rPr>
        <w:br w:type="page"/>
      </w:r>
    </w:p>
    <w:p w:rsidR="00287604" w:rsidRPr="00DB433A" w:rsidRDefault="00287604" w:rsidP="00287604">
      <w:pPr>
        <w:pStyle w:val="Sectionintro"/>
        <w:rPr>
          <w:lang w:val="en-NZ"/>
        </w:rPr>
      </w:pPr>
      <w:r w:rsidRPr="00DB433A">
        <w:rPr>
          <w:lang w:val="en-NZ"/>
        </w:rPr>
        <w:lastRenderedPageBreak/>
        <w:t>Locally raised funds per student</w:t>
      </w:r>
    </w:p>
    <w:p w:rsidR="00287604" w:rsidRDefault="00287604" w:rsidP="00287604">
      <w:pPr>
        <w:rPr>
          <w:lang w:val="en-NZ"/>
        </w:rPr>
      </w:pPr>
      <w:r w:rsidRPr="00DB433A">
        <w:rPr>
          <w:lang w:val="en-NZ"/>
        </w:rPr>
        <w:t xml:space="preserve">This section highlights analysis of </w:t>
      </w:r>
      <w:r w:rsidRPr="00DB433A">
        <w:rPr>
          <w:u w:val="single"/>
          <w:lang w:val="en-NZ"/>
        </w:rPr>
        <w:t>net</w:t>
      </w:r>
      <w:r w:rsidRPr="00DB433A">
        <w:rPr>
          <w:lang w:val="en-NZ"/>
        </w:rPr>
        <w:t xml:space="preserve"> locally raised funds per student</w:t>
      </w:r>
      <w:r w:rsidR="007778BB">
        <w:rPr>
          <w:lang w:val="en-NZ"/>
        </w:rPr>
        <w:t xml:space="preserve">. </w:t>
      </w:r>
      <w:r w:rsidRPr="00DB433A">
        <w:rPr>
          <w:lang w:val="en-NZ"/>
        </w:rPr>
        <w:t xml:space="preserve">This excludes revenue from international students (considered </w:t>
      </w:r>
      <w:r w:rsidR="007778BB">
        <w:rPr>
          <w:lang w:val="en-NZ"/>
        </w:rPr>
        <w:t xml:space="preserve">in its own section </w:t>
      </w:r>
      <w:r w:rsidRPr="00DB433A">
        <w:rPr>
          <w:lang w:val="en-NZ"/>
        </w:rPr>
        <w:t xml:space="preserve">below) and local expenses have been netted off local income, as reported by schools </w:t>
      </w:r>
      <w:r>
        <w:rPr>
          <w:lang w:val="en-NZ"/>
        </w:rPr>
        <w:t>(from FIDS)</w:t>
      </w:r>
      <w:r w:rsidRPr="00DB433A">
        <w:rPr>
          <w:lang w:val="en-NZ"/>
        </w:rPr>
        <w:t>.</w:t>
      </w:r>
    </w:p>
    <w:p w:rsidR="00994BF8" w:rsidRDefault="00994BF8" w:rsidP="00287604">
      <w:pPr>
        <w:rPr>
          <w:lang w:val="en-NZ"/>
        </w:rPr>
      </w:pPr>
      <w:r w:rsidRPr="00994BF8">
        <w:rPr>
          <w:lang w:val="en-NZ"/>
        </w:rPr>
        <w:t>Note there are some examples with negative net local funds, which may be due to particular accounting practices or because some schools do indeed spend more on activities than the money generated.</w:t>
      </w:r>
      <w:r w:rsidR="005D089E">
        <w:rPr>
          <w:lang w:val="en-NZ"/>
        </w:rPr>
        <w:t xml:space="preserve"> Note we</w:t>
      </w:r>
      <w:r w:rsidR="005D089E" w:rsidRPr="005D089E">
        <w:rPr>
          <w:lang w:val="en-NZ"/>
        </w:rPr>
        <w:t xml:space="preserve"> have not been able to specifically follow up </w:t>
      </w:r>
      <w:r w:rsidR="005D089E">
        <w:rPr>
          <w:lang w:val="en-NZ"/>
        </w:rPr>
        <w:t xml:space="preserve">the consistency of accounting practices and the economic reality of reported surpluses </w:t>
      </w:r>
      <w:r w:rsidR="005D089E" w:rsidRPr="005D089E">
        <w:rPr>
          <w:lang w:val="en-NZ"/>
        </w:rPr>
        <w:t>through further investigation</w:t>
      </w:r>
      <w:r w:rsidR="005D089E">
        <w:rPr>
          <w:lang w:val="en-NZ"/>
        </w:rPr>
        <w:t>.</w:t>
      </w:r>
    </w:p>
    <w:p w:rsidR="007778BB" w:rsidRPr="00DB433A" w:rsidRDefault="007778BB" w:rsidP="007778BB">
      <w:pPr>
        <w:pStyle w:val="Heading1BlueNumbered"/>
        <w:numPr>
          <w:ilvl w:val="0"/>
          <w:numId w:val="0"/>
        </w:numPr>
        <w:ind w:left="851" w:hanging="851"/>
      </w:pPr>
      <w:r>
        <w:t>Composition of net locally raised funds</w:t>
      </w:r>
    </w:p>
    <w:p w:rsidR="007778BB" w:rsidRDefault="001244B6" w:rsidP="00287604">
      <w:pPr>
        <w:rPr>
          <w:lang w:val="en-NZ"/>
        </w:rPr>
      </w:pPr>
      <w:r>
        <w:rPr>
          <w:lang w:val="en-NZ"/>
        </w:rPr>
        <w:t>The chart below shows the revenues and expenses we have included in net locally raised funds.</w:t>
      </w:r>
    </w:p>
    <w:p w:rsidR="00F008E4" w:rsidRDefault="00B43A36" w:rsidP="001244B6">
      <w:pPr>
        <w:spacing w:after="0"/>
        <w:rPr>
          <w:lang w:val="en-NZ"/>
        </w:rPr>
      </w:pPr>
      <w:r>
        <w:rPr>
          <w:noProof/>
          <w:lang w:val="en-NZ" w:eastAsia="en-NZ"/>
        </w:rPr>
        <w:drawing>
          <wp:inline distT="0" distB="0" distL="0" distR="0">
            <wp:extent cx="4410075" cy="2646045"/>
            <wp:effectExtent l="0" t="0" r="0"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244B6" w:rsidRPr="004B33E5" w:rsidRDefault="001244B6" w:rsidP="001244B6">
      <w:pPr>
        <w:jc w:val="right"/>
        <w:rPr>
          <w:i/>
          <w:lang w:val="en-NZ"/>
        </w:rPr>
      </w:pPr>
      <w:r w:rsidRPr="004B33E5">
        <w:rPr>
          <w:i/>
          <w:lang w:val="en-NZ"/>
        </w:rPr>
        <w:t xml:space="preserve">FIDS data, </w:t>
      </w:r>
      <w:r>
        <w:rPr>
          <w:i/>
          <w:lang w:val="en-NZ"/>
        </w:rPr>
        <w:t>2,135</w:t>
      </w:r>
      <w:r w:rsidRPr="004B33E5">
        <w:rPr>
          <w:i/>
          <w:lang w:val="en-NZ"/>
        </w:rPr>
        <w:t xml:space="preserve"> schools</w:t>
      </w:r>
    </w:p>
    <w:p w:rsidR="00B43A36" w:rsidRDefault="00722631" w:rsidP="00287604">
      <w:pPr>
        <w:rPr>
          <w:lang w:val="en-NZ"/>
        </w:rPr>
      </w:pPr>
      <w:r>
        <w:rPr>
          <w:lang w:val="en-NZ"/>
        </w:rPr>
        <w:t>“Other categories” includes house rents, boarding fees and scholarships, local transport and bequests.</w:t>
      </w:r>
      <w:r w:rsidR="005D089E">
        <w:rPr>
          <w:lang w:val="en-NZ"/>
        </w:rPr>
        <w:t xml:space="preserve"> </w:t>
      </w:r>
      <w:r w:rsidR="00B43A36">
        <w:rPr>
          <w:lang w:val="en-NZ"/>
        </w:rPr>
        <w:t>In aggregate, net locally raised funds of $252 million are based on $451 million of revenue less $199 million of expenses.</w:t>
      </w:r>
    </w:p>
    <w:p w:rsidR="00B43A36" w:rsidRDefault="00B43A36" w:rsidP="00B43A36">
      <w:pPr>
        <w:spacing w:after="0"/>
        <w:rPr>
          <w:lang w:val="en-NZ"/>
        </w:rPr>
      </w:pPr>
      <w:r>
        <w:rPr>
          <w:noProof/>
          <w:lang w:val="en-NZ" w:eastAsia="en-NZ"/>
        </w:rPr>
        <w:drawing>
          <wp:inline distT="0" distB="0" distL="0" distR="0">
            <wp:extent cx="4408098" cy="2337758"/>
            <wp:effectExtent l="0" t="0" r="0"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3A36" w:rsidRPr="004B33E5" w:rsidRDefault="00B43A36" w:rsidP="00B43A36">
      <w:pPr>
        <w:jc w:val="right"/>
        <w:rPr>
          <w:i/>
          <w:lang w:val="en-NZ"/>
        </w:rPr>
      </w:pPr>
      <w:r w:rsidRPr="004B33E5">
        <w:rPr>
          <w:i/>
          <w:lang w:val="en-NZ"/>
        </w:rPr>
        <w:lastRenderedPageBreak/>
        <w:t xml:space="preserve">FIDS data, </w:t>
      </w:r>
      <w:r>
        <w:rPr>
          <w:i/>
          <w:lang w:val="en-NZ"/>
        </w:rPr>
        <w:t>2,135</w:t>
      </w:r>
      <w:r w:rsidRPr="004B33E5">
        <w:rPr>
          <w:i/>
          <w:lang w:val="en-NZ"/>
        </w:rPr>
        <w:t xml:space="preserve"> schools</w:t>
      </w:r>
    </w:p>
    <w:p w:rsidR="0051061C" w:rsidRDefault="00A65B9C" w:rsidP="00287604">
      <w:pPr>
        <w:rPr>
          <w:lang w:val="en-NZ"/>
        </w:rPr>
      </w:pPr>
      <w:r>
        <w:rPr>
          <w:lang w:val="en-NZ"/>
        </w:rPr>
        <w:t>Donations are</w:t>
      </w:r>
      <w:r w:rsidR="000057D4">
        <w:rPr>
          <w:lang w:val="en-NZ"/>
        </w:rPr>
        <w:t xml:space="preserve"> the largest net item, followed by Activities and Other Local Funds. However, we would caution against drawing conclusions about the net surplus for each component of locally raised funds as accounting practices may vary between schools and may not be designed to provide accurate information</w:t>
      </w:r>
      <w:r w:rsidR="00B84005">
        <w:rPr>
          <w:lang w:val="en-NZ"/>
        </w:rPr>
        <w:t xml:space="preserve"> about the surplus of these components. For example, it is possible that some schools have reported a surplus on activity fees in FIDS, but have excluded support staff salaries from those expenses.</w:t>
      </w:r>
    </w:p>
    <w:p w:rsidR="00783D5D" w:rsidRPr="00DB433A" w:rsidRDefault="00783D5D" w:rsidP="00783D5D">
      <w:pPr>
        <w:pStyle w:val="Heading1BlueNumbered"/>
        <w:numPr>
          <w:ilvl w:val="0"/>
          <w:numId w:val="0"/>
        </w:numPr>
        <w:ind w:left="851" w:hanging="851"/>
      </w:pPr>
      <w:r>
        <w:t>Range within school types</w:t>
      </w:r>
    </w:p>
    <w:p w:rsidR="00783D5D" w:rsidRDefault="00783D5D" w:rsidP="00783D5D">
      <w:pPr>
        <w:rPr>
          <w:lang w:val="en-NZ"/>
        </w:rPr>
      </w:pPr>
      <w:r>
        <w:rPr>
          <w:lang w:val="en-NZ"/>
        </w:rPr>
        <w:t xml:space="preserve">On average, </w:t>
      </w:r>
      <w:r w:rsidR="005D089E">
        <w:rPr>
          <w:lang w:val="en-NZ"/>
        </w:rPr>
        <w:t xml:space="preserve">secondary schools </w:t>
      </w:r>
      <w:r w:rsidRPr="00DB433A">
        <w:rPr>
          <w:lang w:val="en-NZ"/>
        </w:rPr>
        <w:t xml:space="preserve">raise </w:t>
      </w:r>
      <w:r w:rsidR="005D089E">
        <w:rPr>
          <w:lang w:val="en-NZ"/>
        </w:rPr>
        <w:t xml:space="preserve">significantly more </w:t>
      </w:r>
      <w:r w:rsidRPr="00DB433A">
        <w:rPr>
          <w:lang w:val="en-NZ"/>
        </w:rPr>
        <w:t xml:space="preserve">local funds </w:t>
      </w:r>
      <w:r>
        <w:rPr>
          <w:lang w:val="en-NZ"/>
        </w:rPr>
        <w:t xml:space="preserve">than other </w:t>
      </w:r>
      <w:r w:rsidR="005D089E">
        <w:rPr>
          <w:lang w:val="en-NZ"/>
        </w:rPr>
        <w:t xml:space="preserve">school </w:t>
      </w:r>
      <w:r>
        <w:rPr>
          <w:lang w:val="en-NZ"/>
        </w:rPr>
        <w:t>types. The chart below shows the distribution for four categories of schools using quartiles of net locally raised funds per student</w:t>
      </w:r>
      <w:r w:rsidR="00A678C1">
        <w:rPr>
          <w:lang w:val="en-NZ"/>
        </w:rPr>
        <w:t>. Special schools have been included based on the number of schools directly on their roll (i.e. excluding students served via outreach programmes or similar) and therefore the information is not directly comparable</w:t>
      </w:r>
      <w:r>
        <w:rPr>
          <w:lang w:val="en-NZ"/>
        </w:rPr>
        <w:t>:</w:t>
      </w:r>
    </w:p>
    <w:tbl>
      <w:tblPr>
        <w:tblStyle w:val="TableGrid"/>
        <w:tblW w:w="9576" w:type="dxa"/>
        <w:tblInd w:w="108" w:type="dxa"/>
        <w:tblCellMar>
          <w:left w:w="108" w:type="dxa"/>
          <w:right w:w="108" w:type="dxa"/>
        </w:tblCellMar>
        <w:tblLook w:val="04A0"/>
      </w:tblPr>
      <w:tblGrid>
        <w:gridCol w:w="9576"/>
      </w:tblGrid>
      <w:tr w:rsidR="0055737E" w:rsidTr="00A678C1">
        <w:trPr>
          <w:cnfStyle w:val="100000000000"/>
        </w:trPr>
        <w:tc>
          <w:tcPr>
            <w:tcW w:w="9576" w:type="dxa"/>
          </w:tcPr>
          <w:p w:rsidR="0055737E" w:rsidRDefault="0055737E" w:rsidP="00A678C1">
            <w:pPr>
              <w:spacing w:after="0"/>
              <w:rPr>
                <w:lang w:val="en-NZ"/>
              </w:rPr>
            </w:pPr>
            <w:r w:rsidRPr="006E7CB9">
              <w:rPr>
                <w:noProof/>
                <w:lang w:val="en-NZ" w:eastAsia="en-NZ"/>
              </w:rPr>
              <w:drawing>
                <wp:inline distT="0" distB="0" distL="0" distR="0">
                  <wp:extent cx="5943600" cy="230695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A678C1" w:rsidRPr="004B33E5" w:rsidRDefault="00A678C1" w:rsidP="00A678C1">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2,135</w:t>
      </w:r>
      <w:r w:rsidRPr="004B33E5">
        <w:rPr>
          <w:i/>
          <w:lang w:val="en-NZ"/>
        </w:rPr>
        <w:t xml:space="preserve"> schools</w:t>
      </w:r>
    </w:p>
    <w:p w:rsidR="0055737E" w:rsidRDefault="0055737E" w:rsidP="00783D5D">
      <w:pPr>
        <w:rPr>
          <w:lang w:val="en-NZ"/>
        </w:rPr>
      </w:pPr>
      <w:r>
        <w:rPr>
          <w:lang w:val="en-NZ"/>
        </w:rPr>
        <w:t>The chart shows primary &amp; intermediate schools have lower net locally raised funds on average than other types, somewhat similar to composite schools although those have a significantly higher upper quartile. The chart also shows that the distribution is quite broad.</w:t>
      </w:r>
    </w:p>
    <w:p w:rsidR="00D00EFB" w:rsidRDefault="00D00EFB" w:rsidP="00783D5D">
      <w:pPr>
        <w:rPr>
          <w:lang w:val="en-NZ"/>
        </w:rPr>
      </w:pPr>
      <w:r>
        <w:rPr>
          <w:lang w:val="en-NZ"/>
        </w:rPr>
        <w:t>The following table shows average net locally raised funds per student for different school sizes across types.</w:t>
      </w:r>
    </w:p>
    <w:tbl>
      <w:tblPr>
        <w:tblW w:w="8860" w:type="dxa"/>
        <w:tblInd w:w="108" w:type="dxa"/>
        <w:tblLook w:val="04A0"/>
      </w:tblPr>
      <w:tblGrid>
        <w:gridCol w:w="2156"/>
        <w:gridCol w:w="1677"/>
        <w:gridCol w:w="1676"/>
        <w:gridCol w:w="1676"/>
        <w:gridCol w:w="1675"/>
      </w:tblGrid>
      <w:tr w:rsidR="00C127B6" w:rsidRPr="00C127B6" w:rsidTr="00C127B6">
        <w:trPr>
          <w:trHeight w:val="450"/>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Cs w:val="18"/>
                <w:lang w:val="en-NZ" w:eastAsia="en-NZ"/>
              </w:rPr>
            </w:pPr>
          </w:p>
        </w:tc>
        <w:tc>
          <w:tcPr>
            <w:tcW w:w="1677" w:type="dxa"/>
            <w:tcBorders>
              <w:top w:val="nil"/>
              <w:left w:val="nil"/>
              <w:bottom w:val="nil"/>
              <w:right w:val="nil"/>
            </w:tcBorders>
            <w:shd w:val="clear" w:color="000000" w:fill="002776"/>
            <w:vAlign w:val="center"/>
            <w:hideMark/>
          </w:tcPr>
          <w:p w:rsidR="00C127B6" w:rsidRPr="00C127B6" w:rsidRDefault="00C127B6" w:rsidP="00C127B6">
            <w:pPr>
              <w:spacing w:after="0" w:line="240" w:lineRule="auto"/>
              <w:jc w:val="center"/>
              <w:rPr>
                <w:rFonts w:ascii="Verdana" w:eastAsia="Times New Roman" w:hAnsi="Verdana" w:cs="Times New Roman"/>
                <w:color w:val="FFFFFF"/>
                <w:szCs w:val="18"/>
                <w:lang w:val="en-NZ" w:eastAsia="en-NZ"/>
              </w:rPr>
            </w:pPr>
            <w:r w:rsidRPr="00C127B6">
              <w:rPr>
                <w:rFonts w:ascii="Verdana" w:eastAsia="Times New Roman" w:hAnsi="Verdana" w:cs="Times New Roman"/>
                <w:color w:val="FFFFFF"/>
                <w:szCs w:val="18"/>
                <w:lang w:val="en-NZ" w:eastAsia="en-NZ"/>
              </w:rPr>
              <w:t xml:space="preserve"> Primary &amp; intermediate </w:t>
            </w:r>
          </w:p>
        </w:tc>
        <w:tc>
          <w:tcPr>
            <w:tcW w:w="1676" w:type="dxa"/>
            <w:tcBorders>
              <w:top w:val="nil"/>
              <w:left w:val="nil"/>
              <w:bottom w:val="nil"/>
              <w:right w:val="nil"/>
            </w:tcBorders>
            <w:shd w:val="clear" w:color="000000" w:fill="002776"/>
            <w:vAlign w:val="center"/>
            <w:hideMark/>
          </w:tcPr>
          <w:p w:rsidR="00C127B6" w:rsidRPr="00C127B6" w:rsidRDefault="00C127B6" w:rsidP="00C127B6">
            <w:pPr>
              <w:spacing w:after="0" w:line="240" w:lineRule="auto"/>
              <w:jc w:val="center"/>
              <w:rPr>
                <w:rFonts w:ascii="Verdana" w:eastAsia="Times New Roman" w:hAnsi="Verdana" w:cs="Times New Roman"/>
                <w:color w:val="FFFFFF"/>
                <w:szCs w:val="18"/>
                <w:lang w:val="en-NZ" w:eastAsia="en-NZ"/>
              </w:rPr>
            </w:pPr>
            <w:r w:rsidRPr="00C127B6">
              <w:rPr>
                <w:rFonts w:ascii="Verdana" w:eastAsia="Times New Roman" w:hAnsi="Verdana" w:cs="Times New Roman"/>
                <w:color w:val="FFFFFF"/>
                <w:szCs w:val="18"/>
                <w:lang w:val="en-NZ" w:eastAsia="en-NZ"/>
              </w:rPr>
              <w:t xml:space="preserve"> Secondary </w:t>
            </w:r>
          </w:p>
        </w:tc>
        <w:tc>
          <w:tcPr>
            <w:tcW w:w="1676" w:type="dxa"/>
            <w:tcBorders>
              <w:top w:val="nil"/>
              <w:left w:val="nil"/>
              <w:bottom w:val="nil"/>
              <w:right w:val="nil"/>
            </w:tcBorders>
            <w:shd w:val="clear" w:color="000000" w:fill="002776"/>
            <w:vAlign w:val="center"/>
            <w:hideMark/>
          </w:tcPr>
          <w:p w:rsidR="00C127B6" w:rsidRPr="00C127B6" w:rsidRDefault="00C127B6" w:rsidP="00C127B6">
            <w:pPr>
              <w:spacing w:after="0" w:line="240" w:lineRule="auto"/>
              <w:jc w:val="center"/>
              <w:rPr>
                <w:rFonts w:ascii="Verdana" w:eastAsia="Times New Roman" w:hAnsi="Verdana" w:cs="Times New Roman"/>
                <w:color w:val="FFFFFF"/>
                <w:szCs w:val="18"/>
                <w:lang w:val="en-NZ" w:eastAsia="en-NZ"/>
              </w:rPr>
            </w:pPr>
            <w:r w:rsidRPr="00C127B6">
              <w:rPr>
                <w:rFonts w:ascii="Verdana" w:eastAsia="Times New Roman" w:hAnsi="Verdana" w:cs="Times New Roman"/>
                <w:color w:val="FFFFFF"/>
                <w:szCs w:val="18"/>
                <w:lang w:val="en-NZ" w:eastAsia="en-NZ"/>
              </w:rPr>
              <w:t xml:space="preserve"> Composite </w:t>
            </w:r>
          </w:p>
        </w:tc>
        <w:tc>
          <w:tcPr>
            <w:tcW w:w="1675" w:type="dxa"/>
            <w:tcBorders>
              <w:top w:val="nil"/>
              <w:left w:val="nil"/>
              <w:bottom w:val="nil"/>
              <w:right w:val="nil"/>
            </w:tcBorders>
            <w:shd w:val="clear" w:color="000000" w:fill="002776"/>
            <w:vAlign w:val="center"/>
            <w:hideMark/>
          </w:tcPr>
          <w:p w:rsidR="00C127B6" w:rsidRPr="00C127B6" w:rsidRDefault="00C127B6" w:rsidP="00C127B6">
            <w:pPr>
              <w:spacing w:after="0" w:line="240" w:lineRule="auto"/>
              <w:jc w:val="center"/>
              <w:rPr>
                <w:rFonts w:ascii="Verdana" w:eastAsia="Times New Roman" w:hAnsi="Verdana" w:cs="Times New Roman"/>
                <w:color w:val="FFFFFF"/>
                <w:szCs w:val="18"/>
                <w:lang w:val="en-NZ" w:eastAsia="en-NZ"/>
              </w:rPr>
            </w:pPr>
            <w:r w:rsidRPr="00C127B6">
              <w:rPr>
                <w:rFonts w:ascii="Verdana" w:eastAsia="Times New Roman" w:hAnsi="Verdana" w:cs="Times New Roman"/>
                <w:color w:val="FFFFFF"/>
                <w:szCs w:val="18"/>
                <w:lang w:val="en-NZ" w:eastAsia="en-NZ"/>
              </w:rPr>
              <w:t xml:space="preserve"> Special </w:t>
            </w:r>
          </w:p>
        </w:tc>
      </w:tr>
      <w:tr w:rsidR="00C127B6" w:rsidRPr="00C127B6" w:rsidTr="00C127B6">
        <w:trPr>
          <w:trHeight w:val="300"/>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Up to 50 students</w:t>
            </w:r>
          </w:p>
        </w:tc>
        <w:tc>
          <w:tcPr>
            <w:tcW w:w="1677"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$669</w:t>
            </w:r>
          </w:p>
        </w:tc>
        <w:tc>
          <w:tcPr>
            <w:tcW w:w="1676" w:type="dxa"/>
            <w:tcBorders>
              <w:top w:val="single" w:sz="4" w:space="0" w:color="00A1DE"/>
              <w:left w:val="single" w:sz="4" w:space="0" w:color="00A1DE"/>
              <w:bottom w:val="nil"/>
              <w:right w:val="single" w:sz="4" w:space="0" w:color="00A1DE"/>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 </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$377</w:t>
            </w:r>
          </w:p>
        </w:tc>
        <w:tc>
          <w:tcPr>
            <w:tcW w:w="1675"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$541</w:t>
            </w:r>
          </w:p>
        </w:tc>
      </w:tr>
      <w:tr w:rsidR="00C127B6" w:rsidRPr="00C127B6" w:rsidTr="00C127B6">
        <w:trPr>
          <w:trHeight w:val="285"/>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51-100 students</w:t>
            </w:r>
          </w:p>
        </w:tc>
        <w:tc>
          <w:tcPr>
            <w:tcW w:w="1677"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$478</w:t>
            </w:r>
          </w:p>
        </w:tc>
        <w:tc>
          <w:tcPr>
            <w:tcW w:w="1676" w:type="dxa"/>
            <w:tcBorders>
              <w:top w:val="nil"/>
              <w:left w:val="single" w:sz="4" w:space="0" w:color="00A1DE"/>
              <w:bottom w:val="nil"/>
              <w:right w:val="single" w:sz="4" w:space="0" w:color="00A1DE"/>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$723</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$370</w:t>
            </w:r>
          </w:p>
        </w:tc>
        <w:tc>
          <w:tcPr>
            <w:tcW w:w="1675"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$521</w:t>
            </w:r>
          </w:p>
        </w:tc>
      </w:tr>
      <w:tr w:rsidR="00C127B6" w:rsidRPr="00C127B6" w:rsidTr="00C127B6">
        <w:trPr>
          <w:trHeight w:val="285"/>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101-200 students</w:t>
            </w:r>
          </w:p>
        </w:tc>
        <w:tc>
          <w:tcPr>
            <w:tcW w:w="1677"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$310</w:t>
            </w:r>
          </w:p>
        </w:tc>
        <w:tc>
          <w:tcPr>
            <w:tcW w:w="1676" w:type="dxa"/>
            <w:tcBorders>
              <w:top w:val="nil"/>
              <w:left w:val="single" w:sz="4" w:space="0" w:color="00A1DE"/>
              <w:bottom w:val="single" w:sz="4" w:space="0" w:color="00A1DE"/>
              <w:right w:val="single" w:sz="4" w:space="0" w:color="00A1DE"/>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 </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$274</w:t>
            </w:r>
          </w:p>
        </w:tc>
        <w:tc>
          <w:tcPr>
            <w:tcW w:w="1675"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$479</w:t>
            </w:r>
          </w:p>
        </w:tc>
      </w:tr>
      <w:tr w:rsidR="00C127B6" w:rsidRPr="00C127B6" w:rsidTr="00C127B6">
        <w:trPr>
          <w:trHeight w:val="285"/>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201-400 students</w:t>
            </w:r>
          </w:p>
        </w:tc>
        <w:tc>
          <w:tcPr>
            <w:tcW w:w="1677"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$283</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$660</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$258</w:t>
            </w:r>
          </w:p>
        </w:tc>
        <w:tc>
          <w:tcPr>
            <w:tcW w:w="1675"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r>
      <w:tr w:rsidR="00C127B6" w:rsidRPr="00C127B6" w:rsidTr="00C127B6">
        <w:trPr>
          <w:trHeight w:val="285"/>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401-800 students</w:t>
            </w:r>
          </w:p>
        </w:tc>
        <w:tc>
          <w:tcPr>
            <w:tcW w:w="1677"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$259</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$579</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$251</w:t>
            </w:r>
          </w:p>
        </w:tc>
        <w:tc>
          <w:tcPr>
            <w:tcW w:w="1675"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r>
      <w:tr w:rsidR="00C127B6" w:rsidRPr="00C127B6" w:rsidTr="00C127B6">
        <w:trPr>
          <w:trHeight w:val="285"/>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801-1200 students</w:t>
            </w:r>
          </w:p>
        </w:tc>
        <w:tc>
          <w:tcPr>
            <w:tcW w:w="1677"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$368</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$631</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$255</w:t>
            </w:r>
          </w:p>
        </w:tc>
        <w:tc>
          <w:tcPr>
            <w:tcW w:w="1675"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r>
      <w:tr w:rsidR="00C127B6" w:rsidRPr="00C127B6" w:rsidTr="00C127B6">
        <w:trPr>
          <w:trHeight w:val="285"/>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1201-1600 students</w:t>
            </w:r>
          </w:p>
        </w:tc>
        <w:tc>
          <w:tcPr>
            <w:tcW w:w="1677"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$407</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$1,149</w:t>
            </w:r>
          </w:p>
        </w:tc>
        <w:tc>
          <w:tcPr>
            <w:tcW w:w="1675"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r>
      <w:tr w:rsidR="00C127B6" w:rsidRPr="00C127B6" w:rsidTr="00C127B6">
        <w:trPr>
          <w:trHeight w:val="285"/>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1601-2000 students</w:t>
            </w:r>
          </w:p>
        </w:tc>
        <w:tc>
          <w:tcPr>
            <w:tcW w:w="1677"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$437</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c>
          <w:tcPr>
            <w:tcW w:w="1675"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r>
      <w:tr w:rsidR="00C127B6" w:rsidRPr="00C127B6" w:rsidTr="00C127B6">
        <w:trPr>
          <w:trHeight w:val="285"/>
        </w:trPr>
        <w:tc>
          <w:tcPr>
            <w:tcW w:w="215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Over 2000 students</w:t>
            </w:r>
          </w:p>
        </w:tc>
        <w:tc>
          <w:tcPr>
            <w:tcW w:w="1677"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$680</w:t>
            </w:r>
          </w:p>
        </w:tc>
        <w:tc>
          <w:tcPr>
            <w:tcW w:w="1676"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c>
          <w:tcPr>
            <w:tcW w:w="1675" w:type="dxa"/>
            <w:tcBorders>
              <w:top w:val="nil"/>
              <w:left w:val="nil"/>
              <w:bottom w:val="nil"/>
              <w:right w:val="nil"/>
            </w:tcBorders>
            <w:shd w:val="clear" w:color="auto" w:fill="auto"/>
            <w:noWrap/>
            <w:vAlign w:val="bottom"/>
            <w:hideMark/>
          </w:tcPr>
          <w:p w:rsidR="00C127B6" w:rsidRPr="00C127B6" w:rsidRDefault="00C127B6" w:rsidP="00C127B6">
            <w:pPr>
              <w:spacing w:after="0" w:line="240" w:lineRule="auto"/>
              <w:jc w:val="center"/>
              <w:rPr>
                <w:rFonts w:ascii="Verdana" w:eastAsia="Times New Roman" w:hAnsi="Verdana" w:cs="Times New Roman"/>
                <w:color w:val="000000"/>
                <w:sz w:val="16"/>
                <w:szCs w:val="16"/>
                <w:lang w:val="en-NZ" w:eastAsia="en-NZ"/>
              </w:rPr>
            </w:pPr>
            <w:r w:rsidRPr="00C127B6">
              <w:rPr>
                <w:rFonts w:ascii="Verdana" w:eastAsia="Times New Roman" w:hAnsi="Verdana" w:cs="Times New Roman"/>
                <w:color w:val="000000"/>
                <w:sz w:val="16"/>
                <w:szCs w:val="16"/>
                <w:lang w:val="en-NZ" w:eastAsia="en-NZ"/>
              </w:rPr>
              <w:t>no data</w:t>
            </w:r>
          </w:p>
        </w:tc>
      </w:tr>
    </w:tbl>
    <w:p w:rsidR="00A678C1" w:rsidRPr="004B33E5" w:rsidRDefault="00A678C1" w:rsidP="00A678C1">
      <w:pPr>
        <w:spacing w:before="240"/>
        <w:jc w:val="right"/>
        <w:rPr>
          <w:i/>
          <w:lang w:val="en-NZ"/>
        </w:rPr>
      </w:pPr>
      <w:r w:rsidRPr="004B33E5">
        <w:rPr>
          <w:i/>
          <w:lang w:val="en-NZ"/>
        </w:rPr>
        <w:lastRenderedPageBreak/>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2,135</w:t>
      </w:r>
      <w:r w:rsidRPr="004B33E5">
        <w:rPr>
          <w:i/>
          <w:lang w:val="en-NZ"/>
        </w:rPr>
        <w:t xml:space="preserve"> schools</w:t>
      </w:r>
    </w:p>
    <w:p w:rsidR="0055737E" w:rsidRDefault="00C127B6" w:rsidP="00783D5D">
      <w:pPr>
        <w:rPr>
          <w:lang w:val="en-NZ"/>
        </w:rPr>
      </w:pPr>
      <w:r>
        <w:rPr>
          <w:lang w:val="en-NZ"/>
        </w:rPr>
        <w:t xml:space="preserve">This suggests smaller composite, primary and intermediate schools raise more </w:t>
      </w:r>
      <w:r w:rsidR="00A678C1">
        <w:rPr>
          <w:lang w:val="en-NZ"/>
        </w:rPr>
        <w:t xml:space="preserve">net local funds </w:t>
      </w:r>
      <w:r>
        <w:rPr>
          <w:lang w:val="en-NZ"/>
        </w:rPr>
        <w:t xml:space="preserve">per student on average. </w:t>
      </w:r>
      <w:r w:rsidR="00A678C1">
        <w:rPr>
          <w:lang w:val="en-NZ"/>
        </w:rPr>
        <w:t>The average for the first three size categories for secondary schools has been combined, because there are only 14 schools with up to 200 students.</w:t>
      </w:r>
    </w:p>
    <w:p w:rsidR="0055737E" w:rsidRDefault="00A678C1" w:rsidP="00783D5D">
      <w:pPr>
        <w:rPr>
          <w:lang w:val="en-NZ"/>
        </w:rPr>
      </w:pPr>
      <w:r>
        <w:rPr>
          <w:lang w:val="en-NZ"/>
        </w:rPr>
        <w:t>The next sections analyse each of the main school categories and the impact of decile on net locally raised funds per student.</w:t>
      </w:r>
    </w:p>
    <w:p w:rsidR="00287604" w:rsidRPr="00DB433A" w:rsidRDefault="00287604" w:rsidP="00287604">
      <w:pPr>
        <w:pStyle w:val="Heading1BlueNumbered"/>
        <w:numPr>
          <w:ilvl w:val="0"/>
          <w:numId w:val="0"/>
        </w:numPr>
        <w:ind w:left="851" w:hanging="851"/>
      </w:pPr>
      <w:r w:rsidRPr="00DB433A">
        <w:t>Primary and intermediate schools</w:t>
      </w:r>
    </w:p>
    <w:p w:rsidR="00287604" w:rsidRDefault="00287604" w:rsidP="00287604">
      <w:pPr>
        <w:rPr>
          <w:lang w:val="en-NZ"/>
        </w:rPr>
      </w:pPr>
      <w:r>
        <w:rPr>
          <w:lang w:val="en-NZ"/>
        </w:rPr>
        <w:t xml:space="preserve">On average, </w:t>
      </w:r>
      <w:r w:rsidRPr="00DB433A">
        <w:rPr>
          <w:lang w:val="en-NZ"/>
        </w:rPr>
        <w:t>high decile schools</w:t>
      </w:r>
      <w:r>
        <w:rPr>
          <w:lang w:val="en-NZ"/>
        </w:rPr>
        <w:t xml:space="preserve"> </w:t>
      </w:r>
      <w:r w:rsidR="00C84F87" w:rsidRPr="00DB433A">
        <w:rPr>
          <w:lang w:val="en-NZ"/>
        </w:rPr>
        <w:t xml:space="preserve">raise </w:t>
      </w:r>
      <w:r w:rsidR="00C84F87">
        <w:rPr>
          <w:lang w:val="en-NZ"/>
        </w:rPr>
        <w:t xml:space="preserve">more </w:t>
      </w:r>
      <w:r w:rsidR="00C84F87" w:rsidRPr="00DB433A">
        <w:rPr>
          <w:lang w:val="en-NZ"/>
        </w:rPr>
        <w:t xml:space="preserve">local funds </w:t>
      </w:r>
      <w:r>
        <w:rPr>
          <w:lang w:val="en-NZ"/>
        </w:rPr>
        <w:t xml:space="preserve">than low </w:t>
      </w:r>
      <w:r w:rsidRPr="00DB433A">
        <w:rPr>
          <w:lang w:val="en-NZ"/>
        </w:rPr>
        <w:t xml:space="preserve">decile schools. </w:t>
      </w:r>
      <w:r w:rsidR="00C84F87">
        <w:rPr>
          <w:lang w:val="en-NZ"/>
        </w:rPr>
        <w:t>T</w:t>
      </w:r>
      <w:r w:rsidRPr="00DB433A">
        <w:rPr>
          <w:lang w:val="en-NZ"/>
        </w:rPr>
        <w:t xml:space="preserve">he analysis </w:t>
      </w:r>
      <w:r w:rsidR="00C84F87">
        <w:rPr>
          <w:lang w:val="en-NZ"/>
        </w:rPr>
        <w:t xml:space="preserve">shows that, while this holds </w:t>
      </w:r>
      <w:r w:rsidRPr="00DB433A">
        <w:rPr>
          <w:lang w:val="en-NZ"/>
        </w:rPr>
        <w:t xml:space="preserve">in general, there are schools in each decile that cover the range of </w:t>
      </w:r>
      <w:r>
        <w:rPr>
          <w:lang w:val="en-NZ"/>
        </w:rPr>
        <w:t>low and high net local funding.</w:t>
      </w:r>
    </w:p>
    <w:p w:rsidR="00287604" w:rsidRPr="0066076F" w:rsidRDefault="00287604" w:rsidP="00FC0183">
      <w:pPr>
        <w:spacing w:after="0"/>
        <w:rPr>
          <w:lang w:val="en-NZ"/>
        </w:rPr>
      </w:pPr>
      <w:r>
        <w:rPr>
          <w:noProof/>
          <w:lang w:val="en-NZ" w:eastAsia="en-NZ"/>
        </w:rPr>
        <w:drawing>
          <wp:inline distT="0" distB="0" distL="0" distR="0">
            <wp:extent cx="3950898" cy="2251494"/>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0183" w:rsidRPr="004B33E5" w:rsidRDefault="00FC0183" w:rsidP="00FC0183">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1,751</w:t>
      </w:r>
      <w:r w:rsidRPr="004B33E5">
        <w:rPr>
          <w:i/>
          <w:lang w:val="en-NZ"/>
        </w:rPr>
        <w:t xml:space="preserve"> schools</w:t>
      </w:r>
    </w:p>
    <w:p w:rsidR="00287604" w:rsidRPr="00DB433A" w:rsidRDefault="00287604" w:rsidP="00287604">
      <w:pPr>
        <w:pStyle w:val="Heading1BlueNumbered"/>
        <w:numPr>
          <w:ilvl w:val="0"/>
          <w:numId w:val="0"/>
        </w:numPr>
        <w:ind w:left="851" w:hanging="851"/>
      </w:pPr>
      <w:r w:rsidRPr="00DB433A">
        <w:t>Secondary schools</w:t>
      </w:r>
    </w:p>
    <w:p w:rsidR="00287604" w:rsidRPr="008938C9" w:rsidRDefault="00287604" w:rsidP="00287604">
      <w:pPr>
        <w:rPr>
          <w:lang w:val="en-NZ"/>
        </w:rPr>
      </w:pPr>
      <w:r>
        <w:rPr>
          <w:lang w:val="en-NZ"/>
        </w:rPr>
        <w:t>Again, the average</w:t>
      </w:r>
      <w:r w:rsidRPr="00DB433A">
        <w:rPr>
          <w:lang w:val="en-NZ"/>
        </w:rPr>
        <w:t xml:space="preserve"> local funds </w:t>
      </w:r>
      <w:r w:rsidR="00C84F87">
        <w:rPr>
          <w:lang w:val="en-NZ"/>
        </w:rPr>
        <w:t xml:space="preserve">raised </w:t>
      </w:r>
      <w:r w:rsidRPr="00DB433A">
        <w:rPr>
          <w:lang w:val="en-NZ"/>
        </w:rPr>
        <w:t>is greater for high decile schools</w:t>
      </w:r>
      <w:r>
        <w:rPr>
          <w:lang w:val="en-NZ"/>
        </w:rPr>
        <w:t xml:space="preserve"> than for low </w:t>
      </w:r>
      <w:r w:rsidRPr="00DB433A">
        <w:rPr>
          <w:lang w:val="en-NZ"/>
        </w:rPr>
        <w:t>decile schools</w:t>
      </w:r>
      <w:r>
        <w:rPr>
          <w:lang w:val="en-NZ"/>
        </w:rPr>
        <w:t>, and that difference is both more pronounced and less even for secondary sc</w:t>
      </w:r>
      <w:r w:rsidR="00FC0183">
        <w:rPr>
          <w:lang w:val="en-NZ"/>
        </w:rPr>
        <w:t>hools than</w:t>
      </w:r>
      <w:r>
        <w:rPr>
          <w:lang w:val="en-NZ"/>
        </w:rPr>
        <w:t xml:space="preserve"> primary </w:t>
      </w:r>
      <w:r w:rsidR="00FC0183">
        <w:rPr>
          <w:lang w:val="en-NZ"/>
        </w:rPr>
        <w:t xml:space="preserve">and intermediate </w:t>
      </w:r>
      <w:r>
        <w:rPr>
          <w:lang w:val="en-NZ"/>
        </w:rPr>
        <w:t>schools.</w:t>
      </w:r>
    </w:p>
    <w:p w:rsidR="00287604" w:rsidRPr="0066076F" w:rsidRDefault="00287604" w:rsidP="00FC0183">
      <w:pPr>
        <w:spacing w:after="0"/>
        <w:rPr>
          <w:lang w:val="en-NZ"/>
        </w:rPr>
      </w:pPr>
      <w:r>
        <w:rPr>
          <w:noProof/>
          <w:lang w:val="en-NZ" w:eastAsia="en-NZ"/>
        </w:rPr>
        <w:drawing>
          <wp:inline distT="0" distB="0" distL="0" distR="0">
            <wp:extent cx="3950898" cy="2225615"/>
            <wp:effectExtent l="0" t="0" r="0" b="381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0183" w:rsidRDefault="00FC0183" w:rsidP="00FC0183">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sidR="00A678C1">
        <w:rPr>
          <w:i/>
          <w:lang w:val="en-NZ"/>
        </w:rPr>
        <w:t>261</w:t>
      </w:r>
      <w:r w:rsidRPr="004B33E5">
        <w:rPr>
          <w:i/>
          <w:lang w:val="en-NZ"/>
        </w:rPr>
        <w:t xml:space="preserve"> schools</w:t>
      </w:r>
    </w:p>
    <w:p w:rsidR="00A678C1" w:rsidRPr="004B33E5" w:rsidRDefault="00A678C1" w:rsidP="00FC0183">
      <w:pPr>
        <w:jc w:val="right"/>
        <w:rPr>
          <w:i/>
          <w:lang w:val="en-NZ"/>
        </w:rPr>
      </w:pPr>
    </w:p>
    <w:p w:rsidR="00287604" w:rsidRPr="00DB433A" w:rsidRDefault="00287604" w:rsidP="00287604">
      <w:pPr>
        <w:pStyle w:val="Heading1BlueNumbered"/>
        <w:numPr>
          <w:ilvl w:val="0"/>
          <w:numId w:val="0"/>
        </w:numPr>
        <w:ind w:left="851" w:hanging="851"/>
      </w:pPr>
      <w:r w:rsidRPr="00DB433A">
        <w:lastRenderedPageBreak/>
        <w:t>Other schools</w:t>
      </w:r>
    </w:p>
    <w:p w:rsidR="00994BF8" w:rsidRDefault="00287604" w:rsidP="00287604">
      <w:pPr>
        <w:rPr>
          <w:lang w:val="en-NZ"/>
        </w:rPr>
      </w:pPr>
      <w:r>
        <w:rPr>
          <w:lang w:val="en-NZ"/>
        </w:rPr>
        <w:t>The</w:t>
      </w:r>
      <w:r w:rsidR="00046006">
        <w:rPr>
          <w:lang w:val="en-NZ"/>
        </w:rPr>
        <w:t>re is no clear</w:t>
      </w:r>
      <w:r>
        <w:rPr>
          <w:lang w:val="en-NZ"/>
        </w:rPr>
        <w:t xml:space="preserve"> pattern for </w:t>
      </w:r>
      <w:r w:rsidR="00046006">
        <w:rPr>
          <w:lang w:val="en-NZ"/>
        </w:rPr>
        <w:t>composite or special schools in relation to local funds by decile. The charts below show that – collectively – these schools span from low to hi</w:t>
      </w:r>
      <w:r w:rsidR="00994BF8">
        <w:rPr>
          <w:lang w:val="en-NZ"/>
        </w:rPr>
        <w:t>gh net local funds per student.</w:t>
      </w:r>
    </w:p>
    <w:p w:rsidR="00994BF8" w:rsidRDefault="00994BF8" w:rsidP="00287604">
      <w:pPr>
        <w:rPr>
          <w:lang w:val="en-NZ"/>
        </w:rPr>
      </w:pPr>
      <w:r>
        <w:rPr>
          <w:lang w:val="en-NZ"/>
        </w:rPr>
        <w:t>Many special schools provide services to other schools (e.g. through outreach programmes) and we only have information about the number of students enrolled directly (rather than the total students served). We have included special schools based on the number of students enrolled directly at those schools to provide an indicative figure.</w:t>
      </w:r>
    </w:p>
    <w:p w:rsidR="00287604" w:rsidRDefault="00287604" w:rsidP="00287604">
      <w:pPr>
        <w:rPr>
          <w:lang w:val="en-NZ"/>
        </w:rPr>
      </w:pPr>
      <w:r>
        <w:rPr>
          <w:b/>
          <w:bCs/>
          <w:lang w:val="en-NZ"/>
        </w:rPr>
        <w:t xml:space="preserve">Composite - </w:t>
      </w:r>
      <w:r w:rsidRPr="009E01FE">
        <w:rPr>
          <w:b/>
          <w:bCs/>
          <w:lang w:val="en-NZ"/>
        </w:rPr>
        <w:t>Net Local Funds Raised Per Student</w:t>
      </w:r>
    </w:p>
    <w:p w:rsidR="00287604" w:rsidRDefault="00287604" w:rsidP="00046006">
      <w:pPr>
        <w:spacing w:after="0"/>
        <w:rPr>
          <w:lang w:val="en-NZ"/>
        </w:rPr>
      </w:pPr>
      <w:r>
        <w:rPr>
          <w:noProof/>
          <w:lang w:val="en-NZ" w:eastAsia="en-NZ"/>
        </w:rPr>
        <w:drawing>
          <wp:inline distT="0" distB="0" distL="0" distR="0">
            <wp:extent cx="3419475" cy="1759789"/>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46006" w:rsidRPr="004B33E5" w:rsidRDefault="00046006" w:rsidP="00046006">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96</w:t>
      </w:r>
      <w:r w:rsidRPr="004B33E5">
        <w:rPr>
          <w:i/>
          <w:lang w:val="en-NZ"/>
        </w:rPr>
        <w:t xml:space="preserve"> schools</w:t>
      </w:r>
    </w:p>
    <w:p w:rsidR="00287604" w:rsidRDefault="00287604" w:rsidP="00287604">
      <w:pPr>
        <w:rPr>
          <w:lang w:val="en-NZ"/>
        </w:rPr>
      </w:pPr>
      <w:r>
        <w:rPr>
          <w:b/>
          <w:bCs/>
          <w:lang w:val="en-NZ"/>
        </w:rPr>
        <w:t xml:space="preserve">Special </w:t>
      </w:r>
      <w:r w:rsidR="00046006">
        <w:rPr>
          <w:b/>
          <w:bCs/>
          <w:lang w:val="en-NZ"/>
        </w:rPr>
        <w:t xml:space="preserve">Schools </w:t>
      </w:r>
      <w:r>
        <w:rPr>
          <w:b/>
          <w:bCs/>
          <w:lang w:val="en-NZ"/>
        </w:rPr>
        <w:t xml:space="preserve">- </w:t>
      </w:r>
      <w:r w:rsidRPr="000F2F12">
        <w:rPr>
          <w:b/>
          <w:bCs/>
          <w:lang w:val="en-NZ"/>
        </w:rPr>
        <w:t>Net Local Funds Raised Per Student</w:t>
      </w:r>
    </w:p>
    <w:p w:rsidR="00287604" w:rsidRDefault="00287604" w:rsidP="00046006">
      <w:pPr>
        <w:spacing w:after="0"/>
        <w:rPr>
          <w:lang w:val="en-NZ"/>
        </w:rPr>
      </w:pPr>
      <w:r>
        <w:rPr>
          <w:noProof/>
          <w:lang w:val="en-NZ" w:eastAsia="en-NZ"/>
        </w:rPr>
        <w:drawing>
          <wp:inline distT="0" distB="0" distL="0" distR="0">
            <wp:extent cx="3419475" cy="1751162"/>
            <wp:effectExtent l="0" t="0" r="0" b="190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6006" w:rsidRPr="004B33E5" w:rsidRDefault="00046006" w:rsidP="00046006">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27</w:t>
      </w:r>
      <w:r w:rsidRPr="004B33E5">
        <w:rPr>
          <w:i/>
          <w:lang w:val="en-NZ"/>
        </w:rPr>
        <w:t xml:space="preserve"> schools</w:t>
      </w:r>
    </w:p>
    <w:p w:rsidR="00A678C1" w:rsidRDefault="00A678C1">
      <w:pPr>
        <w:spacing w:after="200" w:line="276" w:lineRule="auto"/>
        <w:rPr>
          <w:sz w:val="28"/>
          <w:lang w:val="en-NZ"/>
        </w:rPr>
      </w:pPr>
      <w:r>
        <w:rPr>
          <w:lang w:val="en-NZ"/>
        </w:rPr>
        <w:br w:type="page"/>
      </w:r>
    </w:p>
    <w:p w:rsidR="00A92C8B" w:rsidRPr="00DB433A" w:rsidRDefault="00A92C8B" w:rsidP="00A92C8B">
      <w:pPr>
        <w:pStyle w:val="Sectionintro"/>
        <w:rPr>
          <w:lang w:val="en-NZ"/>
        </w:rPr>
      </w:pPr>
      <w:r w:rsidRPr="007D5889">
        <w:rPr>
          <w:lang w:val="en-NZ"/>
        </w:rPr>
        <w:lastRenderedPageBreak/>
        <w:t>Income from international students</w:t>
      </w:r>
    </w:p>
    <w:p w:rsidR="00A167ED" w:rsidRDefault="00A167ED" w:rsidP="004F514A">
      <w:pPr>
        <w:rPr>
          <w:lang w:val="en-NZ"/>
        </w:rPr>
      </w:pPr>
      <w:r>
        <w:rPr>
          <w:lang w:val="en-NZ"/>
        </w:rPr>
        <w:t xml:space="preserve">Our analysis of FY15 FIDS data identified a total of </w:t>
      </w:r>
      <w:r w:rsidR="002E6084">
        <w:rPr>
          <w:lang w:val="en-NZ"/>
        </w:rPr>
        <w:t>478</w:t>
      </w:r>
      <w:r>
        <w:rPr>
          <w:lang w:val="en-NZ"/>
        </w:rPr>
        <w:t xml:space="preserve"> schools</w:t>
      </w:r>
      <w:r w:rsidR="00BB1A1B">
        <w:rPr>
          <w:lang w:val="en-NZ"/>
        </w:rPr>
        <w:t xml:space="preserve"> who received in</w:t>
      </w:r>
      <w:r w:rsidR="002E6084">
        <w:rPr>
          <w:lang w:val="en-NZ"/>
        </w:rPr>
        <w:t xml:space="preserve">come from </w:t>
      </w:r>
      <w:r w:rsidR="002D2084">
        <w:rPr>
          <w:lang w:val="en-NZ"/>
        </w:rPr>
        <w:t>international</w:t>
      </w:r>
      <w:r w:rsidR="002E6084">
        <w:rPr>
          <w:lang w:val="en-NZ"/>
        </w:rPr>
        <w:t xml:space="preserve"> students. </w:t>
      </w:r>
      <w:r w:rsidR="00290DE3">
        <w:rPr>
          <w:lang w:val="en-NZ"/>
        </w:rPr>
        <w:t xml:space="preserve">We identified </w:t>
      </w:r>
      <w:r w:rsidR="00E304B7">
        <w:rPr>
          <w:lang w:val="en-NZ"/>
        </w:rPr>
        <w:t xml:space="preserve">121 </w:t>
      </w:r>
      <w:r w:rsidR="002E6084">
        <w:rPr>
          <w:lang w:val="en-NZ"/>
        </w:rPr>
        <w:t xml:space="preserve">schools </w:t>
      </w:r>
      <w:r w:rsidR="00290DE3">
        <w:rPr>
          <w:lang w:val="en-NZ"/>
        </w:rPr>
        <w:t>with either 20</w:t>
      </w:r>
      <w:r w:rsidR="00290DE3" w:rsidRPr="00DB433A">
        <w:rPr>
          <w:lang w:val="en-NZ"/>
        </w:rPr>
        <w:t xml:space="preserve"> or more international students or where international students make up 5% or more of the total school roll.</w:t>
      </w:r>
      <w:r w:rsidR="00290DE3">
        <w:rPr>
          <w:lang w:val="en-NZ"/>
        </w:rPr>
        <w:t xml:space="preserve"> </w:t>
      </w:r>
      <w:r w:rsidR="00453BE6">
        <w:rPr>
          <w:lang w:val="en-NZ"/>
        </w:rPr>
        <w:t xml:space="preserve">The chart below shows the majority of these are </w:t>
      </w:r>
      <w:r w:rsidR="00E30124">
        <w:rPr>
          <w:lang w:val="en-NZ"/>
        </w:rPr>
        <w:t xml:space="preserve">higher decile </w:t>
      </w:r>
      <w:r w:rsidR="00453BE6">
        <w:rPr>
          <w:lang w:val="en-NZ"/>
        </w:rPr>
        <w:t>seconda</w:t>
      </w:r>
      <w:r w:rsidR="00E30124">
        <w:rPr>
          <w:lang w:val="en-NZ"/>
        </w:rPr>
        <w:t>ry schools, though a range of deciles and other types of school are also represented.</w:t>
      </w:r>
    </w:p>
    <w:p w:rsidR="00157EAE" w:rsidRPr="00157EAE" w:rsidRDefault="00157EAE" w:rsidP="004F514A">
      <w:pPr>
        <w:rPr>
          <w:b/>
          <w:lang w:val="en-NZ"/>
        </w:rPr>
      </w:pPr>
      <w:r>
        <w:rPr>
          <w:b/>
          <w:lang w:val="en-NZ"/>
        </w:rPr>
        <w:t>Number of schools with more than 20 or 5% international students</w:t>
      </w:r>
    </w:p>
    <w:tbl>
      <w:tblPr>
        <w:tblStyle w:val="TableGrid"/>
        <w:tblW w:w="0" w:type="auto"/>
        <w:tblCellMar>
          <w:left w:w="108" w:type="dxa"/>
          <w:right w:w="108" w:type="dxa"/>
        </w:tblCellMar>
        <w:tblLook w:val="04A0"/>
      </w:tblPr>
      <w:tblGrid>
        <w:gridCol w:w="6996"/>
      </w:tblGrid>
      <w:tr w:rsidR="00A167ED" w:rsidTr="003F23A3">
        <w:trPr>
          <w:cnfStyle w:val="100000000000"/>
        </w:trPr>
        <w:tc>
          <w:tcPr>
            <w:tcW w:w="6996" w:type="dxa"/>
          </w:tcPr>
          <w:p w:rsidR="00A167ED" w:rsidRDefault="00F63702" w:rsidP="003F23A3">
            <w:pPr>
              <w:spacing w:after="0"/>
              <w:rPr>
                <w:lang w:val="en-NZ"/>
              </w:rPr>
            </w:pPr>
            <w:r>
              <w:rPr>
                <w:noProof/>
                <w:lang w:val="en-NZ" w:eastAsia="en-NZ"/>
              </w:rPr>
              <w:drawing>
                <wp:inline distT="0" distB="0" distL="0" distR="0">
                  <wp:extent cx="4305300" cy="2514601"/>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3F23A3" w:rsidRPr="004B33E5" w:rsidRDefault="003F23A3" w:rsidP="003F23A3">
      <w:pPr>
        <w:jc w:val="right"/>
        <w:rPr>
          <w:i/>
          <w:lang w:val="en-NZ"/>
        </w:rPr>
      </w:pPr>
      <w:r>
        <w:rPr>
          <w:i/>
          <w:lang w:val="en-NZ"/>
        </w:rPr>
        <w:t>S</w:t>
      </w:r>
      <w:r w:rsidRPr="004B33E5">
        <w:rPr>
          <w:i/>
          <w:lang w:val="en-NZ"/>
        </w:rPr>
        <w:t xml:space="preserve">chool </w:t>
      </w:r>
      <w:r>
        <w:rPr>
          <w:i/>
          <w:lang w:val="en-NZ"/>
        </w:rPr>
        <w:t>Directory</w:t>
      </w:r>
      <w:r w:rsidRPr="004B33E5">
        <w:rPr>
          <w:i/>
          <w:lang w:val="en-NZ"/>
        </w:rPr>
        <w:t xml:space="preserve">, </w:t>
      </w:r>
      <w:r>
        <w:rPr>
          <w:i/>
          <w:lang w:val="en-NZ"/>
        </w:rPr>
        <w:t>121</w:t>
      </w:r>
      <w:r w:rsidRPr="004B33E5">
        <w:rPr>
          <w:i/>
          <w:lang w:val="en-NZ"/>
        </w:rPr>
        <w:t xml:space="preserve"> schools</w:t>
      </w:r>
    </w:p>
    <w:p w:rsidR="00A17342" w:rsidRDefault="00702B53" w:rsidP="004F514A">
      <w:pPr>
        <w:rPr>
          <w:lang w:val="en-NZ"/>
        </w:rPr>
      </w:pPr>
      <w:r w:rsidRPr="00DB433A">
        <w:rPr>
          <w:lang w:val="en-NZ"/>
        </w:rPr>
        <w:t>While most are decile 6 or higher, the list also includes 22 schools ranging from deciles 2 to 5.</w:t>
      </w:r>
      <w:r w:rsidR="005049DA">
        <w:rPr>
          <w:lang w:val="en-NZ"/>
        </w:rPr>
        <w:t xml:space="preserve"> Decile 9 schools in this subset have the highest number of international students with 74 on average, whereas decile 2 in this subset schools have only 20 international students on average.</w:t>
      </w:r>
    </w:p>
    <w:p w:rsidR="000C27B8" w:rsidRDefault="000C27B8" w:rsidP="000C27B8">
      <w:pPr>
        <w:pStyle w:val="Heading1BlueNumbered"/>
        <w:numPr>
          <w:ilvl w:val="0"/>
          <w:numId w:val="0"/>
        </w:numPr>
        <w:ind w:left="851" w:hanging="851"/>
      </w:pPr>
      <w:r>
        <w:t>Surplus on international students</w:t>
      </w:r>
    </w:p>
    <w:p w:rsidR="000C27B8" w:rsidRDefault="00A17342" w:rsidP="004F514A">
      <w:pPr>
        <w:rPr>
          <w:lang w:val="en-NZ"/>
        </w:rPr>
      </w:pPr>
      <w:r>
        <w:rPr>
          <w:lang w:val="en-NZ"/>
        </w:rPr>
        <w:t>The</w:t>
      </w:r>
      <w:r w:rsidR="00E30124">
        <w:rPr>
          <w:lang w:val="en-NZ"/>
        </w:rPr>
        <w:t xml:space="preserve"> FIDS information </w:t>
      </w:r>
      <w:r>
        <w:rPr>
          <w:lang w:val="en-NZ"/>
        </w:rPr>
        <w:t xml:space="preserve">we had available </w:t>
      </w:r>
      <w:r w:rsidR="00E30124">
        <w:rPr>
          <w:lang w:val="en-NZ"/>
        </w:rPr>
        <w:t xml:space="preserve">included </w:t>
      </w:r>
      <w:r w:rsidR="003F23A3">
        <w:rPr>
          <w:lang w:val="en-NZ"/>
        </w:rPr>
        <w:t>financial information for</w:t>
      </w:r>
      <w:r w:rsidR="00290DE3">
        <w:rPr>
          <w:lang w:val="en-NZ"/>
        </w:rPr>
        <w:t xml:space="preserve"> 101</w:t>
      </w:r>
      <w:r w:rsidR="00702B53">
        <w:rPr>
          <w:lang w:val="en-NZ"/>
        </w:rPr>
        <w:t xml:space="preserve"> of these</w:t>
      </w:r>
      <w:r w:rsidR="003F23A3">
        <w:rPr>
          <w:lang w:val="en-NZ"/>
        </w:rPr>
        <w:t xml:space="preserve"> schools</w:t>
      </w:r>
      <w:r w:rsidR="00E30124">
        <w:rPr>
          <w:lang w:val="en-NZ"/>
        </w:rPr>
        <w:t>.</w:t>
      </w:r>
      <w:r>
        <w:rPr>
          <w:lang w:val="en-NZ"/>
        </w:rPr>
        <w:t xml:space="preserve"> </w:t>
      </w:r>
      <w:r w:rsidR="00D96320">
        <w:rPr>
          <w:lang w:val="en-NZ"/>
        </w:rPr>
        <w:t>In 2015, t</w:t>
      </w:r>
      <w:r w:rsidR="00290DE3">
        <w:rPr>
          <w:lang w:val="en-NZ"/>
        </w:rPr>
        <w:t xml:space="preserve">hese schools </w:t>
      </w:r>
      <w:r w:rsidR="00D96320">
        <w:rPr>
          <w:lang w:val="en-NZ"/>
        </w:rPr>
        <w:t>had</w:t>
      </w:r>
      <w:r w:rsidR="00290DE3">
        <w:rPr>
          <w:lang w:val="en-NZ"/>
        </w:rPr>
        <w:t xml:space="preserve"> </w:t>
      </w:r>
      <w:r w:rsidR="004F514A" w:rsidRPr="00DB433A">
        <w:rPr>
          <w:lang w:val="en-NZ"/>
        </w:rPr>
        <w:t>total revenue</w:t>
      </w:r>
      <w:r w:rsidR="00E304B7">
        <w:rPr>
          <w:lang w:val="en-NZ"/>
        </w:rPr>
        <w:t xml:space="preserve"> from international students</w:t>
      </w:r>
      <w:r w:rsidR="004F514A" w:rsidRPr="00DB433A">
        <w:rPr>
          <w:lang w:val="en-NZ"/>
        </w:rPr>
        <w:t xml:space="preserve"> of </w:t>
      </w:r>
      <w:r w:rsidR="002E6084">
        <w:rPr>
          <w:lang w:val="en-NZ"/>
        </w:rPr>
        <w:t>$</w:t>
      </w:r>
      <w:r w:rsidR="002957ED">
        <w:rPr>
          <w:lang w:val="en-NZ"/>
        </w:rPr>
        <w:t>84.3</w:t>
      </w:r>
      <w:r w:rsidR="002D2084">
        <w:rPr>
          <w:lang w:val="en-NZ"/>
        </w:rPr>
        <w:t xml:space="preserve"> </w:t>
      </w:r>
      <w:r w:rsidR="002957ED">
        <w:rPr>
          <w:lang w:val="en-NZ"/>
        </w:rPr>
        <w:t>m</w:t>
      </w:r>
      <w:r w:rsidR="002D2084">
        <w:rPr>
          <w:lang w:val="en-NZ"/>
        </w:rPr>
        <w:t>illion</w:t>
      </w:r>
      <w:r w:rsidR="002957ED">
        <w:rPr>
          <w:lang w:val="en-NZ"/>
        </w:rPr>
        <w:t xml:space="preserve"> </w:t>
      </w:r>
      <w:r w:rsidR="002E6084">
        <w:rPr>
          <w:lang w:val="en-NZ"/>
        </w:rPr>
        <w:t xml:space="preserve">and </w:t>
      </w:r>
      <w:r w:rsidR="002957ED">
        <w:rPr>
          <w:lang w:val="en-NZ"/>
        </w:rPr>
        <w:t>net international student revenue of $42</w:t>
      </w:r>
      <w:r w:rsidR="002D2084">
        <w:rPr>
          <w:lang w:val="en-NZ"/>
        </w:rPr>
        <w:t xml:space="preserve"> </w:t>
      </w:r>
      <w:r w:rsidR="002957ED">
        <w:rPr>
          <w:lang w:val="en-NZ"/>
        </w:rPr>
        <w:t>m</w:t>
      </w:r>
      <w:r w:rsidR="002D2084">
        <w:rPr>
          <w:lang w:val="en-NZ"/>
        </w:rPr>
        <w:t>illion</w:t>
      </w:r>
      <w:r w:rsidR="002E6084">
        <w:rPr>
          <w:lang w:val="en-NZ"/>
        </w:rPr>
        <w:t xml:space="preserve"> (</w:t>
      </w:r>
      <w:r w:rsidR="002D2084">
        <w:rPr>
          <w:lang w:val="en-NZ"/>
        </w:rPr>
        <w:t>a</w:t>
      </w:r>
      <w:r w:rsidR="00B0442A">
        <w:rPr>
          <w:lang w:val="en-NZ"/>
        </w:rPr>
        <w:t xml:space="preserve"> margin of 49.8%</w:t>
      </w:r>
      <w:r w:rsidR="002E6084">
        <w:rPr>
          <w:lang w:val="en-NZ"/>
        </w:rPr>
        <w:t>)</w:t>
      </w:r>
      <w:r w:rsidR="0044132E" w:rsidRPr="00DB433A">
        <w:rPr>
          <w:lang w:val="en-NZ"/>
        </w:rPr>
        <w:t>.</w:t>
      </w:r>
      <w:r w:rsidR="004E6CC8" w:rsidRPr="00DB433A">
        <w:rPr>
          <w:lang w:val="en-NZ"/>
        </w:rPr>
        <w:t xml:space="preserve"> </w:t>
      </w:r>
      <w:r w:rsidR="008D3E79">
        <w:rPr>
          <w:lang w:val="en-NZ"/>
        </w:rPr>
        <w:t>The</w:t>
      </w:r>
      <w:r w:rsidR="001351A4">
        <w:rPr>
          <w:lang w:val="en-NZ"/>
        </w:rPr>
        <w:t xml:space="preserve"> majority of these schools earn</w:t>
      </w:r>
      <w:r w:rsidR="00D96320">
        <w:rPr>
          <w:lang w:val="en-NZ"/>
        </w:rPr>
        <w:t>ed</w:t>
      </w:r>
      <w:r w:rsidR="008D3E79">
        <w:rPr>
          <w:lang w:val="en-NZ"/>
        </w:rPr>
        <w:t xml:space="preserve"> a positive margin </w:t>
      </w:r>
      <w:r w:rsidR="002C1927">
        <w:rPr>
          <w:lang w:val="en-NZ"/>
        </w:rPr>
        <w:t xml:space="preserve">(surplus) </w:t>
      </w:r>
      <w:r w:rsidR="008D3E79">
        <w:rPr>
          <w:lang w:val="en-NZ"/>
        </w:rPr>
        <w:t>on international students</w:t>
      </w:r>
    </w:p>
    <w:p w:rsidR="000C27B8" w:rsidRDefault="000C27B8" w:rsidP="000C27B8">
      <w:pPr>
        <w:rPr>
          <w:noProof/>
          <w:lang w:val="en-NZ" w:eastAsia="en-NZ"/>
        </w:rPr>
      </w:pPr>
      <w:r>
        <w:rPr>
          <w:noProof/>
          <w:lang w:val="en-NZ" w:eastAsia="en-NZ"/>
        </w:rPr>
        <w:t xml:space="preserve">Through our reviews of the financial statements and interviews with some of these schools, we believe </w:t>
      </w:r>
      <w:r w:rsidRPr="00DB433A">
        <w:rPr>
          <w:lang w:val="en-NZ"/>
        </w:rPr>
        <w:t>accounting practices to reflect the costs of international students vary</w:t>
      </w:r>
      <w:r>
        <w:rPr>
          <w:lang w:val="en-NZ"/>
        </w:rPr>
        <w:t xml:space="preserve">. </w:t>
      </w:r>
      <w:r>
        <w:rPr>
          <w:noProof/>
          <w:lang w:val="en-NZ" w:eastAsia="en-NZ"/>
        </w:rPr>
        <w:t xml:space="preserve">We believe the surplus generally reflects direct incremental costs only and does </w:t>
      </w:r>
      <w:r w:rsidRPr="000C27B8">
        <w:rPr>
          <w:noProof/>
          <w:u w:val="single"/>
          <w:lang w:val="en-NZ" w:eastAsia="en-NZ"/>
        </w:rPr>
        <w:t>not</w:t>
      </w:r>
      <w:r>
        <w:rPr>
          <w:noProof/>
          <w:lang w:val="en-NZ" w:eastAsia="en-NZ"/>
        </w:rPr>
        <w:t xml:space="preserve"> include:</w:t>
      </w:r>
    </w:p>
    <w:p w:rsidR="000C27B8" w:rsidRDefault="000C27B8" w:rsidP="000C27B8">
      <w:pPr>
        <w:pStyle w:val="ListParagraph"/>
        <w:numPr>
          <w:ilvl w:val="0"/>
          <w:numId w:val="43"/>
        </w:numPr>
        <w:rPr>
          <w:noProof/>
          <w:lang w:val="en-NZ" w:eastAsia="en-NZ"/>
        </w:rPr>
      </w:pPr>
      <w:r>
        <w:rPr>
          <w:lang w:val="en-NZ"/>
        </w:rPr>
        <w:t>I</w:t>
      </w:r>
      <w:r w:rsidRPr="000C27B8">
        <w:rPr>
          <w:lang w:val="en-NZ"/>
        </w:rPr>
        <w:t>nfrastructure</w:t>
      </w:r>
      <w:r>
        <w:rPr>
          <w:lang w:val="en-NZ"/>
        </w:rPr>
        <w:t xml:space="preserve"> costs – e.g. capacity / buildings required to accommodate international student numbers</w:t>
      </w:r>
    </w:p>
    <w:p w:rsidR="000C27B8" w:rsidRPr="000C27B8" w:rsidRDefault="000C27B8" w:rsidP="000C27B8">
      <w:pPr>
        <w:pStyle w:val="ListParagraph"/>
        <w:numPr>
          <w:ilvl w:val="0"/>
          <w:numId w:val="43"/>
        </w:numPr>
        <w:rPr>
          <w:noProof/>
          <w:lang w:val="en-NZ" w:eastAsia="en-NZ"/>
        </w:rPr>
      </w:pPr>
      <w:r>
        <w:rPr>
          <w:lang w:val="en-NZ"/>
        </w:rPr>
        <w:t>Teaching costs – i.e. the additional teachers needed by a school or across the sector to teach international students</w:t>
      </w:r>
    </w:p>
    <w:p w:rsidR="000C27B8" w:rsidRDefault="000C27B8" w:rsidP="004F514A">
      <w:pPr>
        <w:rPr>
          <w:lang w:val="en-NZ"/>
        </w:rPr>
      </w:pPr>
      <w:r>
        <w:rPr>
          <w:lang w:val="en-NZ"/>
        </w:rPr>
        <w:t>If the above were taken into account, the surplus on international students is likely to be significantly smaller.</w:t>
      </w:r>
    </w:p>
    <w:p w:rsidR="000C27B8" w:rsidRDefault="000C27B8" w:rsidP="004F514A">
      <w:pPr>
        <w:rPr>
          <w:lang w:val="en-NZ"/>
        </w:rPr>
      </w:pPr>
    </w:p>
    <w:p w:rsidR="004F514A" w:rsidRDefault="000C27B8" w:rsidP="004F514A">
      <w:pPr>
        <w:rPr>
          <w:lang w:val="en-NZ"/>
        </w:rPr>
      </w:pPr>
      <w:r>
        <w:rPr>
          <w:lang w:val="en-NZ"/>
        </w:rPr>
        <w:lastRenderedPageBreak/>
        <w:t xml:space="preserve">The reported level of surplus </w:t>
      </w:r>
      <w:r w:rsidR="008D3E79">
        <w:rPr>
          <w:lang w:val="en-NZ"/>
        </w:rPr>
        <w:t>is uneven across schools.</w:t>
      </w:r>
      <w:r w:rsidR="001351A4">
        <w:rPr>
          <w:lang w:val="en-NZ"/>
        </w:rPr>
        <w:t xml:space="preserve"> </w:t>
      </w:r>
      <w:r w:rsidR="006E40C7">
        <w:rPr>
          <w:lang w:val="en-NZ"/>
        </w:rPr>
        <w:t>The chart below shows most earned a surplus of</w:t>
      </w:r>
      <w:r w:rsidR="00B0442A">
        <w:rPr>
          <w:lang w:val="en-NZ"/>
        </w:rPr>
        <w:t xml:space="preserve"> </w:t>
      </w:r>
      <w:r w:rsidR="003F23A3">
        <w:rPr>
          <w:lang w:val="en-NZ"/>
        </w:rPr>
        <w:t>4</w:t>
      </w:r>
      <w:r w:rsidR="00B0442A">
        <w:rPr>
          <w:lang w:val="en-NZ"/>
        </w:rPr>
        <w:t xml:space="preserve">0% - </w:t>
      </w:r>
      <w:r w:rsidR="003F23A3">
        <w:rPr>
          <w:lang w:val="en-NZ"/>
        </w:rPr>
        <w:t>7</w:t>
      </w:r>
      <w:r w:rsidR="00B0442A">
        <w:rPr>
          <w:lang w:val="en-NZ"/>
        </w:rPr>
        <w:t>0% on international students</w:t>
      </w:r>
      <w:r w:rsidR="001351A4">
        <w:rPr>
          <w:lang w:val="en-NZ"/>
        </w:rPr>
        <w:t>.</w:t>
      </w:r>
    </w:p>
    <w:p w:rsidR="00157EAE" w:rsidRPr="00157EAE" w:rsidRDefault="00E065D1" w:rsidP="004F514A">
      <w:pPr>
        <w:rPr>
          <w:b/>
          <w:lang w:val="en-NZ"/>
        </w:rPr>
      </w:pPr>
      <w:r>
        <w:rPr>
          <w:b/>
          <w:noProof/>
          <w:lang w:val="en-NZ" w:eastAsia="en-NZ"/>
        </w:rPr>
        <w:t>Net International Student Revenue: Margin over Expenses</w:t>
      </w:r>
    </w:p>
    <w:tbl>
      <w:tblPr>
        <w:tblStyle w:val="TableGrid"/>
        <w:tblW w:w="0" w:type="auto"/>
        <w:tblCellMar>
          <w:left w:w="108" w:type="dxa"/>
          <w:right w:w="108" w:type="dxa"/>
        </w:tblCellMar>
        <w:tblLook w:val="04A0"/>
      </w:tblPr>
      <w:tblGrid>
        <w:gridCol w:w="6945"/>
      </w:tblGrid>
      <w:tr w:rsidR="00157EAE" w:rsidTr="00B0442A">
        <w:trPr>
          <w:cnfStyle w:val="100000000000"/>
        </w:trPr>
        <w:tc>
          <w:tcPr>
            <w:tcW w:w="6945" w:type="dxa"/>
          </w:tcPr>
          <w:p w:rsidR="00157EAE" w:rsidRDefault="00B0442A" w:rsidP="003F23A3">
            <w:pPr>
              <w:spacing w:after="0"/>
              <w:rPr>
                <w:lang w:val="en-NZ"/>
              </w:rPr>
            </w:pPr>
            <w:r>
              <w:rPr>
                <w:noProof/>
                <w:lang w:val="en-NZ" w:eastAsia="en-NZ"/>
              </w:rPr>
              <w:drawing>
                <wp:inline distT="0" distB="0" distL="0" distR="0">
                  <wp:extent cx="4057649" cy="2486025"/>
                  <wp:effectExtent l="0" t="0" r="63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3F23A3" w:rsidRPr="004B33E5" w:rsidRDefault="003F23A3" w:rsidP="003F23A3">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101</w:t>
      </w:r>
      <w:r w:rsidRPr="004B33E5">
        <w:rPr>
          <w:i/>
          <w:lang w:val="en-NZ"/>
        </w:rPr>
        <w:t xml:space="preserve"> schools</w:t>
      </w:r>
    </w:p>
    <w:p w:rsidR="000C27B8" w:rsidRDefault="000C27B8" w:rsidP="000C27B8">
      <w:pPr>
        <w:rPr>
          <w:lang w:val="en-NZ"/>
        </w:rPr>
      </w:pPr>
    </w:p>
    <w:p w:rsidR="00D7343B" w:rsidRPr="00DB433A" w:rsidRDefault="000D5CB0" w:rsidP="00D7343B">
      <w:pPr>
        <w:pStyle w:val="Sectionintro"/>
        <w:rPr>
          <w:lang w:val="en-NZ"/>
        </w:rPr>
      </w:pPr>
      <w:r w:rsidRPr="00DB433A">
        <w:rPr>
          <w:lang w:val="en-NZ"/>
        </w:rPr>
        <w:t xml:space="preserve">Cash </w:t>
      </w:r>
      <w:r w:rsidR="004F4D35">
        <w:rPr>
          <w:lang w:val="en-NZ"/>
        </w:rPr>
        <w:t>reserves</w:t>
      </w:r>
    </w:p>
    <w:p w:rsidR="004F4D35" w:rsidRDefault="004F4D35">
      <w:pPr>
        <w:rPr>
          <w:lang w:val="en-NZ"/>
        </w:rPr>
      </w:pPr>
      <w:r>
        <w:rPr>
          <w:lang w:val="en-NZ"/>
        </w:rPr>
        <w:t xml:space="preserve">In this </w:t>
      </w:r>
      <w:r w:rsidR="00B971A0" w:rsidRPr="00DB433A">
        <w:rPr>
          <w:lang w:val="en-NZ"/>
        </w:rPr>
        <w:t xml:space="preserve">section </w:t>
      </w:r>
      <w:r>
        <w:rPr>
          <w:lang w:val="en-NZ"/>
        </w:rPr>
        <w:t>we have looked at</w:t>
      </w:r>
      <w:r w:rsidR="00B971A0" w:rsidRPr="00DB433A">
        <w:rPr>
          <w:lang w:val="en-NZ"/>
        </w:rPr>
        <w:t xml:space="preserve"> the cash and liquidity position of </w:t>
      </w:r>
      <w:r w:rsidR="00B63888">
        <w:rPr>
          <w:lang w:val="en-NZ"/>
        </w:rPr>
        <w:t>schools, in order to identify whether there are a significant number of “cash-rich” schools.</w:t>
      </w:r>
    </w:p>
    <w:p w:rsidR="00D27976" w:rsidRPr="00DB433A" w:rsidRDefault="00D27976">
      <w:pPr>
        <w:rPr>
          <w:lang w:val="en-NZ"/>
        </w:rPr>
      </w:pPr>
      <w:r w:rsidRPr="00DB433A">
        <w:rPr>
          <w:lang w:val="en-NZ"/>
        </w:rPr>
        <w:t xml:space="preserve">High levels of cash on the balance sheet may </w:t>
      </w:r>
      <w:r w:rsidR="004F4D35">
        <w:rPr>
          <w:lang w:val="en-NZ"/>
        </w:rPr>
        <w:t>lead a casual observer to perceive a school as cash-rich,</w:t>
      </w:r>
      <w:r w:rsidRPr="00DB433A">
        <w:rPr>
          <w:lang w:val="en-NZ"/>
        </w:rPr>
        <w:t xml:space="preserve"> without considering the true liquidity needs of schools. In order to avoid this, we</w:t>
      </w:r>
      <w:r w:rsidR="00273EBE" w:rsidRPr="00DB433A">
        <w:rPr>
          <w:lang w:val="en-NZ"/>
        </w:rPr>
        <w:t xml:space="preserve"> </w:t>
      </w:r>
      <w:r w:rsidR="00565F0D" w:rsidRPr="00DB433A">
        <w:rPr>
          <w:lang w:val="en-NZ"/>
        </w:rPr>
        <w:t>evaluated</w:t>
      </w:r>
      <w:r w:rsidR="00273EBE" w:rsidRPr="00DB433A">
        <w:rPr>
          <w:lang w:val="en-NZ"/>
        </w:rPr>
        <w:t xml:space="preserve"> the working capital and liquidity </w:t>
      </w:r>
      <w:r w:rsidRPr="00DB433A">
        <w:rPr>
          <w:lang w:val="en-NZ"/>
        </w:rPr>
        <w:t>position of each school by using a series of ratio filters.</w:t>
      </w:r>
    </w:p>
    <w:p w:rsidR="00B971A0" w:rsidRPr="00DB433A" w:rsidRDefault="002D4C8B" w:rsidP="000D3A31">
      <w:pPr>
        <w:pStyle w:val="Heading1BlueNumbered"/>
        <w:numPr>
          <w:ilvl w:val="0"/>
          <w:numId w:val="0"/>
        </w:numPr>
        <w:ind w:left="851" w:hanging="851"/>
      </w:pPr>
      <w:r w:rsidRPr="004F4D35">
        <w:t>Filter C</w:t>
      </w:r>
      <w:r w:rsidR="00B971A0" w:rsidRPr="004F4D35">
        <w:t>omposition</w:t>
      </w:r>
    </w:p>
    <w:p w:rsidR="00B971A0" w:rsidRPr="00DB433A" w:rsidRDefault="002D4C8B">
      <w:pPr>
        <w:rPr>
          <w:lang w:val="en-NZ"/>
        </w:rPr>
      </w:pPr>
      <w:r w:rsidRPr="00DB433A">
        <w:rPr>
          <w:lang w:val="en-NZ"/>
        </w:rPr>
        <w:t xml:space="preserve">In order </w:t>
      </w:r>
      <w:r w:rsidR="00902D62" w:rsidRPr="00DB433A">
        <w:rPr>
          <w:lang w:val="en-NZ"/>
        </w:rPr>
        <w:t xml:space="preserve">for a school to be classified as </w:t>
      </w:r>
      <w:r w:rsidR="007842CF">
        <w:rPr>
          <w:lang w:val="en-NZ"/>
        </w:rPr>
        <w:t>cash-rich</w:t>
      </w:r>
      <w:r w:rsidR="004F4D35">
        <w:rPr>
          <w:lang w:val="en-NZ"/>
        </w:rPr>
        <w:t xml:space="preserve"> in this analysis,</w:t>
      </w:r>
      <w:r w:rsidR="00902D62" w:rsidRPr="00DB433A">
        <w:rPr>
          <w:lang w:val="en-NZ"/>
        </w:rPr>
        <w:t xml:space="preserve"> it needed to </w:t>
      </w:r>
      <w:r w:rsidR="00565F0D" w:rsidRPr="00DB433A">
        <w:rPr>
          <w:lang w:val="en-NZ"/>
        </w:rPr>
        <w:t>demonstrate the following liquidity characteristics:</w:t>
      </w:r>
    </w:p>
    <w:tbl>
      <w:tblPr>
        <w:tblStyle w:val="ListTable3-Accent11"/>
        <w:tblW w:w="10343" w:type="dxa"/>
        <w:tblLayout w:type="fixed"/>
        <w:tblLook w:val="04A0"/>
      </w:tblPr>
      <w:tblGrid>
        <w:gridCol w:w="1838"/>
        <w:gridCol w:w="2835"/>
        <w:gridCol w:w="1985"/>
        <w:gridCol w:w="3685"/>
      </w:tblGrid>
      <w:tr w:rsidR="002D4C8B" w:rsidRPr="00DB433A" w:rsidTr="00CB6009">
        <w:trPr>
          <w:cnfStyle w:val="100000000000"/>
        </w:trPr>
        <w:tc>
          <w:tcPr>
            <w:cnfStyle w:val="001000000100"/>
            <w:tcW w:w="10343" w:type="dxa"/>
            <w:gridSpan w:val="4"/>
          </w:tcPr>
          <w:p w:rsidR="002D4C8B" w:rsidRPr="00DB433A" w:rsidRDefault="002D4C8B" w:rsidP="00CB6009">
            <w:pPr>
              <w:pStyle w:val="Sectionintro"/>
              <w:spacing w:before="60" w:after="60" w:line="240" w:lineRule="auto"/>
              <w:jc w:val="center"/>
              <w:rPr>
                <w:sz w:val="18"/>
                <w:szCs w:val="18"/>
                <w:lang w:val="en-NZ"/>
              </w:rPr>
            </w:pPr>
            <w:r w:rsidRPr="00DB433A">
              <w:rPr>
                <w:sz w:val="18"/>
                <w:szCs w:val="18"/>
                <w:lang w:val="en-NZ"/>
              </w:rPr>
              <w:t>Liquidity Analysis: Filter Parameters</w:t>
            </w:r>
          </w:p>
        </w:tc>
      </w:tr>
      <w:tr w:rsidR="002D4C8B" w:rsidRPr="00DB433A" w:rsidTr="0002076F">
        <w:trPr>
          <w:cnfStyle w:val="000000100000"/>
          <w:trHeight w:val="64"/>
        </w:trPr>
        <w:tc>
          <w:tcPr>
            <w:cnfStyle w:val="001000000000"/>
            <w:tcW w:w="1838" w:type="dxa"/>
          </w:tcPr>
          <w:p w:rsidR="002D4C8B" w:rsidRPr="00DB433A" w:rsidRDefault="002D4C8B" w:rsidP="00CB6009">
            <w:pPr>
              <w:pStyle w:val="Sectionintro"/>
              <w:spacing w:before="60" w:after="60" w:line="240" w:lineRule="auto"/>
              <w:rPr>
                <w:sz w:val="16"/>
                <w:szCs w:val="16"/>
                <w:lang w:val="en-NZ"/>
              </w:rPr>
            </w:pPr>
            <w:r w:rsidRPr="00DB433A">
              <w:rPr>
                <w:sz w:val="16"/>
                <w:szCs w:val="16"/>
                <w:lang w:val="en-NZ"/>
              </w:rPr>
              <w:t>Filter Metric</w:t>
            </w:r>
          </w:p>
        </w:tc>
        <w:tc>
          <w:tcPr>
            <w:tcW w:w="2835" w:type="dxa"/>
          </w:tcPr>
          <w:p w:rsidR="002D4C8B" w:rsidRPr="00DB433A" w:rsidRDefault="002D4C8B" w:rsidP="00CB6009">
            <w:pPr>
              <w:pStyle w:val="Sectionintro"/>
              <w:spacing w:before="60" w:after="60" w:line="240" w:lineRule="auto"/>
              <w:cnfStyle w:val="000000100000"/>
              <w:rPr>
                <w:b/>
                <w:sz w:val="16"/>
                <w:szCs w:val="16"/>
                <w:lang w:val="en-NZ"/>
              </w:rPr>
            </w:pPr>
            <w:r w:rsidRPr="00DB433A">
              <w:rPr>
                <w:b/>
                <w:sz w:val="16"/>
                <w:szCs w:val="16"/>
                <w:lang w:val="en-NZ"/>
              </w:rPr>
              <w:t>Description</w:t>
            </w:r>
          </w:p>
        </w:tc>
        <w:tc>
          <w:tcPr>
            <w:tcW w:w="1985" w:type="dxa"/>
          </w:tcPr>
          <w:p w:rsidR="002D4C8B" w:rsidRPr="00DB433A" w:rsidRDefault="002D4C8B" w:rsidP="00CB6009">
            <w:pPr>
              <w:pStyle w:val="Sectionintro"/>
              <w:spacing w:before="60" w:after="60" w:line="240" w:lineRule="auto"/>
              <w:cnfStyle w:val="000000100000"/>
              <w:rPr>
                <w:b/>
                <w:sz w:val="16"/>
                <w:szCs w:val="16"/>
                <w:lang w:val="en-NZ"/>
              </w:rPr>
            </w:pPr>
            <w:r w:rsidRPr="00DB433A">
              <w:rPr>
                <w:b/>
                <w:sz w:val="16"/>
                <w:szCs w:val="16"/>
                <w:lang w:val="en-NZ"/>
              </w:rPr>
              <w:t>Filter Requirement</w:t>
            </w:r>
          </w:p>
        </w:tc>
        <w:tc>
          <w:tcPr>
            <w:tcW w:w="3685" w:type="dxa"/>
          </w:tcPr>
          <w:p w:rsidR="002D4C8B" w:rsidRPr="00DB433A" w:rsidRDefault="002D4C8B" w:rsidP="00CB6009">
            <w:pPr>
              <w:pStyle w:val="Sectionintro"/>
              <w:spacing w:before="60" w:after="60" w:line="240" w:lineRule="auto"/>
              <w:cnfStyle w:val="000000100000"/>
              <w:rPr>
                <w:b/>
                <w:sz w:val="16"/>
                <w:szCs w:val="16"/>
                <w:lang w:val="en-NZ"/>
              </w:rPr>
            </w:pPr>
            <w:r w:rsidRPr="00DB433A">
              <w:rPr>
                <w:b/>
                <w:sz w:val="16"/>
                <w:szCs w:val="16"/>
                <w:lang w:val="en-NZ"/>
              </w:rPr>
              <w:t>Assumption about filter requirement</w:t>
            </w:r>
          </w:p>
        </w:tc>
      </w:tr>
      <w:tr w:rsidR="002D4C8B" w:rsidRPr="00DB433A" w:rsidTr="0002076F">
        <w:trPr>
          <w:trHeight w:val="285"/>
        </w:trPr>
        <w:tc>
          <w:tcPr>
            <w:cnfStyle w:val="001000000000"/>
            <w:tcW w:w="1838" w:type="dxa"/>
          </w:tcPr>
          <w:p w:rsidR="002D4C8B" w:rsidRPr="00DB433A" w:rsidRDefault="0002076F">
            <w:pPr>
              <w:pStyle w:val="Sectionintro"/>
              <w:spacing w:before="60" w:after="60" w:line="240" w:lineRule="auto"/>
              <w:rPr>
                <w:b w:val="0"/>
                <w:sz w:val="16"/>
                <w:szCs w:val="16"/>
                <w:lang w:val="en-NZ"/>
              </w:rPr>
            </w:pPr>
            <w:r>
              <w:rPr>
                <w:b w:val="0"/>
                <w:sz w:val="16"/>
                <w:szCs w:val="16"/>
                <w:lang w:val="en-NZ"/>
              </w:rPr>
              <w:t>Current Ratio</w:t>
            </w:r>
          </w:p>
        </w:tc>
        <w:tc>
          <w:tcPr>
            <w:tcW w:w="2835" w:type="dxa"/>
          </w:tcPr>
          <w:p w:rsidR="002D4C8B" w:rsidRPr="00DB433A" w:rsidRDefault="0002076F">
            <w:pPr>
              <w:pStyle w:val="Sectionintro"/>
              <w:spacing w:before="60" w:after="60" w:line="240" w:lineRule="auto"/>
              <w:cnfStyle w:val="000000000000"/>
              <w:rPr>
                <w:sz w:val="16"/>
                <w:szCs w:val="16"/>
                <w:lang w:val="en-NZ"/>
              </w:rPr>
            </w:pPr>
            <w:r>
              <w:rPr>
                <w:sz w:val="16"/>
                <w:szCs w:val="16"/>
                <w:lang w:val="en-NZ"/>
              </w:rPr>
              <w:t>Current Assets/Current Liabilities</w:t>
            </w:r>
          </w:p>
        </w:tc>
        <w:tc>
          <w:tcPr>
            <w:tcW w:w="1985" w:type="dxa"/>
          </w:tcPr>
          <w:p w:rsidR="002D4C8B" w:rsidRPr="00DB433A" w:rsidRDefault="00713041">
            <w:pPr>
              <w:pStyle w:val="Sectionintro"/>
              <w:spacing w:before="60" w:after="60" w:line="240" w:lineRule="auto"/>
              <w:cnfStyle w:val="000000000000"/>
              <w:rPr>
                <w:sz w:val="16"/>
                <w:szCs w:val="16"/>
                <w:lang w:val="en-NZ"/>
              </w:rPr>
            </w:pPr>
            <w:r>
              <w:rPr>
                <w:sz w:val="16"/>
                <w:szCs w:val="16"/>
                <w:lang w:val="en-NZ"/>
              </w:rPr>
              <w:t>4.24x</w:t>
            </w:r>
          </w:p>
        </w:tc>
        <w:tc>
          <w:tcPr>
            <w:tcW w:w="3685" w:type="dxa"/>
          </w:tcPr>
          <w:p w:rsidR="002D4C8B" w:rsidRPr="00DB433A" w:rsidRDefault="00713041" w:rsidP="000D3A31">
            <w:pPr>
              <w:pStyle w:val="Sectionintro"/>
              <w:spacing w:before="60" w:after="60" w:line="240" w:lineRule="auto"/>
              <w:cnfStyle w:val="000000000000"/>
              <w:rPr>
                <w:sz w:val="16"/>
                <w:szCs w:val="16"/>
                <w:lang w:val="en-NZ"/>
              </w:rPr>
            </w:pPr>
            <w:r>
              <w:rPr>
                <w:sz w:val="16"/>
                <w:szCs w:val="16"/>
                <w:lang w:val="en-NZ"/>
              </w:rPr>
              <w:t>Average ratio plus one standard deviation</w:t>
            </w:r>
          </w:p>
        </w:tc>
      </w:tr>
      <w:tr w:rsidR="002D4C8B" w:rsidRPr="00DB433A" w:rsidTr="0002076F">
        <w:trPr>
          <w:cnfStyle w:val="000000100000"/>
          <w:trHeight w:val="120"/>
        </w:trPr>
        <w:tc>
          <w:tcPr>
            <w:cnfStyle w:val="001000000000"/>
            <w:tcW w:w="1838" w:type="dxa"/>
          </w:tcPr>
          <w:p w:rsidR="002D4C8B" w:rsidRPr="00DB433A" w:rsidRDefault="0002076F">
            <w:pPr>
              <w:pStyle w:val="Sectionintro"/>
              <w:spacing w:before="60" w:after="60" w:line="240" w:lineRule="auto"/>
              <w:rPr>
                <w:b w:val="0"/>
                <w:sz w:val="16"/>
                <w:szCs w:val="16"/>
                <w:lang w:val="en-NZ"/>
              </w:rPr>
            </w:pPr>
            <w:r>
              <w:rPr>
                <w:b w:val="0"/>
                <w:sz w:val="16"/>
                <w:szCs w:val="16"/>
                <w:lang w:val="en-NZ"/>
              </w:rPr>
              <w:t>Cash Ratio</w:t>
            </w:r>
          </w:p>
        </w:tc>
        <w:tc>
          <w:tcPr>
            <w:tcW w:w="2835" w:type="dxa"/>
          </w:tcPr>
          <w:p w:rsidR="002D4C8B" w:rsidRPr="00DB433A" w:rsidRDefault="0002076F">
            <w:pPr>
              <w:pStyle w:val="Sectionintro"/>
              <w:spacing w:before="60" w:after="60" w:line="240" w:lineRule="auto"/>
              <w:cnfStyle w:val="000000100000"/>
              <w:rPr>
                <w:sz w:val="16"/>
                <w:szCs w:val="16"/>
                <w:lang w:val="en-NZ"/>
              </w:rPr>
            </w:pPr>
            <w:r>
              <w:rPr>
                <w:sz w:val="16"/>
                <w:szCs w:val="16"/>
                <w:lang w:val="en-NZ"/>
              </w:rPr>
              <w:t>Cash/Current Liabilities</w:t>
            </w:r>
          </w:p>
        </w:tc>
        <w:tc>
          <w:tcPr>
            <w:tcW w:w="1985" w:type="dxa"/>
          </w:tcPr>
          <w:p w:rsidR="002D4C8B" w:rsidRPr="00DB433A" w:rsidRDefault="0002076F">
            <w:pPr>
              <w:pStyle w:val="Sectionintro"/>
              <w:spacing w:before="60" w:after="60" w:line="240" w:lineRule="auto"/>
              <w:cnfStyle w:val="000000100000"/>
              <w:rPr>
                <w:sz w:val="16"/>
                <w:szCs w:val="16"/>
                <w:lang w:val="en-NZ"/>
              </w:rPr>
            </w:pPr>
            <w:r>
              <w:rPr>
                <w:sz w:val="16"/>
                <w:szCs w:val="16"/>
                <w:lang w:val="en-NZ"/>
              </w:rPr>
              <w:t>2.25</w:t>
            </w:r>
            <w:r w:rsidR="00713041">
              <w:rPr>
                <w:sz w:val="16"/>
                <w:szCs w:val="16"/>
                <w:lang w:val="en-NZ"/>
              </w:rPr>
              <w:t>x</w:t>
            </w:r>
          </w:p>
        </w:tc>
        <w:tc>
          <w:tcPr>
            <w:tcW w:w="3685" w:type="dxa"/>
          </w:tcPr>
          <w:p w:rsidR="002D4C8B" w:rsidRPr="00DB433A" w:rsidRDefault="0002076F">
            <w:pPr>
              <w:pStyle w:val="Sectionintro"/>
              <w:spacing w:before="60" w:after="60" w:line="240" w:lineRule="auto"/>
              <w:cnfStyle w:val="000000100000"/>
              <w:rPr>
                <w:sz w:val="16"/>
                <w:szCs w:val="16"/>
                <w:lang w:val="en-NZ"/>
              </w:rPr>
            </w:pPr>
            <w:r>
              <w:rPr>
                <w:sz w:val="16"/>
                <w:szCs w:val="16"/>
                <w:lang w:val="en-NZ"/>
              </w:rPr>
              <w:t>Average ratio plus one standard deviation</w:t>
            </w:r>
          </w:p>
        </w:tc>
      </w:tr>
      <w:tr w:rsidR="002D4C8B" w:rsidRPr="00DB433A" w:rsidTr="0002076F">
        <w:trPr>
          <w:trHeight w:val="120"/>
        </w:trPr>
        <w:tc>
          <w:tcPr>
            <w:cnfStyle w:val="001000000000"/>
            <w:tcW w:w="1838" w:type="dxa"/>
          </w:tcPr>
          <w:p w:rsidR="002D4C8B" w:rsidRPr="00DB433A" w:rsidRDefault="0002076F" w:rsidP="002D4C8B">
            <w:pPr>
              <w:pStyle w:val="Sectionintro"/>
              <w:spacing w:before="60" w:after="60" w:line="240" w:lineRule="auto"/>
              <w:rPr>
                <w:b w:val="0"/>
                <w:sz w:val="16"/>
                <w:szCs w:val="16"/>
                <w:lang w:val="en-NZ"/>
              </w:rPr>
            </w:pPr>
            <w:r>
              <w:rPr>
                <w:b w:val="0"/>
                <w:sz w:val="16"/>
                <w:szCs w:val="16"/>
                <w:lang w:val="en-NZ"/>
              </w:rPr>
              <w:t>Balance Sheet Cash</w:t>
            </w:r>
          </w:p>
        </w:tc>
        <w:tc>
          <w:tcPr>
            <w:tcW w:w="2835" w:type="dxa"/>
          </w:tcPr>
          <w:p w:rsidR="002D4C8B" w:rsidRPr="00DB433A" w:rsidRDefault="0002076F" w:rsidP="002D4C8B">
            <w:pPr>
              <w:pStyle w:val="Sectionintro"/>
              <w:spacing w:before="60" w:after="60" w:line="240" w:lineRule="auto"/>
              <w:cnfStyle w:val="000000000000"/>
              <w:rPr>
                <w:sz w:val="16"/>
                <w:szCs w:val="16"/>
                <w:lang w:val="en-NZ"/>
              </w:rPr>
            </w:pPr>
            <w:r>
              <w:rPr>
                <w:sz w:val="16"/>
                <w:szCs w:val="16"/>
                <w:lang w:val="en-NZ"/>
              </w:rPr>
              <w:t>Cash held</w:t>
            </w:r>
          </w:p>
        </w:tc>
        <w:tc>
          <w:tcPr>
            <w:tcW w:w="1985" w:type="dxa"/>
          </w:tcPr>
          <w:p w:rsidR="002D4C8B" w:rsidRPr="00DB433A" w:rsidRDefault="00713041" w:rsidP="002D4C8B">
            <w:pPr>
              <w:pStyle w:val="Sectionintro"/>
              <w:spacing w:before="60" w:after="60" w:line="240" w:lineRule="auto"/>
              <w:cnfStyle w:val="000000000000"/>
              <w:rPr>
                <w:sz w:val="16"/>
                <w:szCs w:val="16"/>
                <w:lang w:val="en-NZ"/>
              </w:rPr>
            </w:pPr>
            <w:r>
              <w:rPr>
                <w:sz w:val="16"/>
                <w:szCs w:val="16"/>
                <w:lang w:val="en-NZ"/>
              </w:rPr>
              <w:t>$594,000</w:t>
            </w:r>
          </w:p>
        </w:tc>
        <w:tc>
          <w:tcPr>
            <w:tcW w:w="3685" w:type="dxa"/>
          </w:tcPr>
          <w:p w:rsidR="002D4C8B" w:rsidRPr="00DB433A" w:rsidRDefault="00713041" w:rsidP="00713041">
            <w:pPr>
              <w:pStyle w:val="Sectionintro"/>
              <w:spacing w:before="60" w:after="60" w:line="240" w:lineRule="auto"/>
              <w:cnfStyle w:val="000000000000"/>
              <w:rPr>
                <w:sz w:val="16"/>
                <w:szCs w:val="16"/>
                <w:lang w:val="en-NZ"/>
              </w:rPr>
            </w:pPr>
            <w:r>
              <w:rPr>
                <w:sz w:val="16"/>
                <w:szCs w:val="16"/>
                <w:lang w:val="en-NZ"/>
              </w:rPr>
              <w:t>Average cash plus one standard deviation</w:t>
            </w:r>
          </w:p>
        </w:tc>
      </w:tr>
      <w:tr w:rsidR="0002076F" w:rsidRPr="00DB433A" w:rsidTr="0002076F">
        <w:trPr>
          <w:cnfStyle w:val="000000100000"/>
          <w:trHeight w:val="120"/>
        </w:trPr>
        <w:tc>
          <w:tcPr>
            <w:cnfStyle w:val="001000000000"/>
            <w:tcW w:w="1838" w:type="dxa"/>
          </w:tcPr>
          <w:p w:rsidR="0002076F" w:rsidRDefault="0002076F" w:rsidP="002D4C8B">
            <w:pPr>
              <w:pStyle w:val="Sectionintro"/>
              <w:spacing w:before="60" w:after="60" w:line="240" w:lineRule="auto"/>
              <w:rPr>
                <w:b w:val="0"/>
                <w:sz w:val="16"/>
                <w:szCs w:val="16"/>
                <w:lang w:val="en-NZ"/>
              </w:rPr>
            </w:pPr>
            <w:r>
              <w:rPr>
                <w:b w:val="0"/>
                <w:sz w:val="16"/>
                <w:szCs w:val="16"/>
                <w:lang w:val="en-NZ"/>
              </w:rPr>
              <w:t>Net Working Capital</w:t>
            </w:r>
          </w:p>
        </w:tc>
        <w:tc>
          <w:tcPr>
            <w:tcW w:w="2835" w:type="dxa"/>
          </w:tcPr>
          <w:p w:rsidR="0002076F" w:rsidRDefault="0002076F" w:rsidP="002D4C8B">
            <w:pPr>
              <w:pStyle w:val="Sectionintro"/>
              <w:spacing w:before="60" w:after="60" w:line="240" w:lineRule="auto"/>
              <w:cnfStyle w:val="000000100000"/>
              <w:rPr>
                <w:sz w:val="16"/>
                <w:szCs w:val="16"/>
                <w:lang w:val="en-NZ"/>
              </w:rPr>
            </w:pPr>
            <w:r>
              <w:rPr>
                <w:sz w:val="16"/>
                <w:szCs w:val="16"/>
                <w:lang w:val="en-NZ"/>
              </w:rPr>
              <w:t>Current Assets – Current Liabilities</w:t>
            </w:r>
          </w:p>
        </w:tc>
        <w:tc>
          <w:tcPr>
            <w:tcW w:w="1985" w:type="dxa"/>
          </w:tcPr>
          <w:p w:rsidR="0002076F" w:rsidRPr="00DB433A" w:rsidRDefault="00713041" w:rsidP="002D4C8B">
            <w:pPr>
              <w:pStyle w:val="Sectionintro"/>
              <w:spacing w:before="60" w:after="60" w:line="240" w:lineRule="auto"/>
              <w:cnfStyle w:val="000000100000"/>
              <w:rPr>
                <w:sz w:val="16"/>
                <w:szCs w:val="16"/>
                <w:lang w:val="en-NZ"/>
              </w:rPr>
            </w:pPr>
            <w:r>
              <w:rPr>
                <w:sz w:val="16"/>
                <w:szCs w:val="16"/>
                <w:lang w:val="en-NZ"/>
              </w:rPr>
              <w:t>$329,000</w:t>
            </w:r>
          </w:p>
        </w:tc>
        <w:tc>
          <w:tcPr>
            <w:tcW w:w="3685" w:type="dxa"/>
          </w:tcPr>
          <w:p w:rsidR="0002076F" w:rsidRPr="00DB433A" w:rsidRDefault="00713041" w:rsidP="002D4C8B">
            <w:pPr>
              <w:pStyle w:val="Sectionintro"/>
              <w:spacing w:before="60" w:after="60" w:line="240" w:lineRule="auto"/>
              <w:cnfStyle w:val="000000100000"/>
              <w:rPr>
                <w:sz w:val="16"/>
                <w:szCs w:val="16"/>
                <w:lang w:val="en-NZ"/>
              </w:rPr>
            </w:pPr>
            <w:r>
              <w:rPr>
                <w:sz w:val="16"/>
                <w:szCs w:val="16"/>
                <w:lang w:val="en-NZ"/>
              </w:rPr>
              <w:t>Average net working capital across schools</w:t>
            </w:r>
          </w:p>
        </w:tc>
      </w:tr>
      <w:tr w:rsidR="002D4C8B" w:rsidRPr="00DB433A" w:rsidTr="0002076F">
        <w:trPr>
          <w:trHeight w:val="120"/>
        </w:trPr>
        <w:tc>
          <w:tcPr>
            <w:cnfStyle w:val="001000000000"/>
            <w:tcW w:w="1838" w:type="dxa"/>
          </w:tcPr>
          <w:p w:rsidR="002D4C8B" w:rsidRPr="00DB433A" w:rsidRDefault="0002076F" w:rsidP="002D4C8B">
            <w:pPr>
              <w:pStyle w:val="Sectionintro"/>
              <w:spacing w:before="60" w:after="60" w:line="240" w:lineRule="auto"/>
              <w:rPr>
                <w:b w:val="0"/>
                <w:sz w:val="16"/>
                <w:szCs w:val="16"/>
                <w:lang w:val="en-NZ"/>
              </w:rPr>
            </w:pPr>
            <w:r>
              <w:rPr>
                <w:b w:val="0"/>
                <w:sz w:val="16"/>
                <w:szCs w:val="16"/>
                <w:lang w:val="en-NZ"/>
              </w:rPr>
              <w:t>Defensive Ratio</w:t>
            </w:r>
          </w:p>
        </w:tc>
        <w:tc>
          <w:tcPr>
            <w:tcW w:w="2835" w:type="dxa"/>
          </w:tcPr>
          <w:p w:rsidR="002D4C8B" w:rsidRPr="00DB433A" w:rsidRDefault="0002076F" w:rsidP="002D4C8B">
            <w:pPr>
              <w:pStyle w:val="Sectionintro"/>
              <w:spacing w:before="60" w:after="60" w:line="240" w:lineRule="auto"/>
              <w:cnfStyle w:val="000000000000"/>
              <w:rPr>
                <w:sz w:val="16"/>
                <w:szCs w:val="16"/>
                <w:lang w:val="en-NZ"/>
              </w:rPr>
            </w:pPr>
            <w:r>
              <w:rPr>
                <w:sz w:val="16"/>
                <w:szCs w:val="16"/>
                <w:lang w:val="en-NZ"/>
              </w:rPr>
              <w:t>Working Capital/Daily Cash Opex</w:t>
            </w:r>
          </w:p>
        </w:tc>
        <w:tc>
          <w:tcPr>
            <w:tcW w:w="1985" w:type="dxa"/>
          </w:tcPr>
          <w:p w:rsidR="002D4C8B" w:rsidRPr="00DB433A" w:rsidRDefault="00713041" w:rsidP="002D4C8B">
            <w:pPr>
              <w:pStyle w:val="Sectionintro"/>
              <w:spacing w:before="60" w:after="60" w:line="240" w:lineRule="auto"/>
              <w:cnfStyle w:val="000000000000"/>
              <w:rPr>
                <w:sz w:val="16"/>
                <w:szCs w:val="16"/>
                <w:lang w:val="en-NZ"/>
              </w:rPr>
            </w:pPr>
            <w:r>
              <w:rPr>
                <w:sz w:val="16"/>
                <w:szCs w:val="16"/>
                <w:lang w:val="en-NZ"/>
              </w:rPr>
              <w:t>194 days</w:t>
            </w:r>
          </w:p>
        </w:tc>
        <w:tc>
          <w:tcPr>
            <w:tcW w:w="3685" w:type="dxa"/>
          </w:tcPr>
          <w:p w:rsidR="002D4C8B" w:rsidRPr="00DB433A" w:rsidRDefault="00713041" w:rsidP="002D4C8B">
            <w:pPr>
              <w:pStyle w:val="Sectionintro"/>
              <w:spacing w:before="60" w:after="60" w:line="240" w:lineRule="auto"/>
              <w:cnfStyle w:val="000000000000"/>
              <w:rPr>
                <w:sz w:val="16"/>
                <w:szCs w:val="16"/>
                <w:lang w:val="en-NZ"/>
              </w:rPr>
            </w:pPr>
            <w:r>
              <w:rPr>
                <w:sz w:val="16"/>
                <w:szCs w:val="16"/>
                <w:lang w:val="en-NZ"/>
              </w:rPr>
              <w:t>Average ratio across schools</w:t>
            </w:r>
          </w:p>
        </w:tc>
      </w:tr>
      <w:tr w:rsidR="002D4C8B" w:rsidRPr="00DB433A" w:rsidTr="0002076F">
        <w:trPr>
          <w:cnfStyle w:val="000000100000"/>
          <w:trHeight w:val="120"/>
        </w:trPr>
        <w:tc>
          <w:tcPr>
            <w:cnfStyle w:val="001000000000"/>
            <w:tcW w:w="1838" w:type="dxa"/>
          </w:tcPr>
          <w:p w:rsidR="002D4C8B" w:rsidRPr="00DB433A" w:rsidRDefault="0002076F" w:rsidP="002D4C8B">
            <w:pPr>
              <w:pStyle w:val="Sectionintro"/>
              <w:spacing w:before="60" w:after="60" w:line="240" w:lineRule="auto"/>
              <w:rPr>
                <w:b w:val="0"/>
                <w:sz w:val="16"/>
                <w:szCs w:val="16"/>
                <w:lang w:val="en-NZ"/>
              </w:rPr>
            </w:pPr>
            <w:r>
              <w:rPr>
                <w:b w:val="0"/>
                <w:sz w:val="16"/>
                <w:szCs w:val="16"/>
                <w:lang w:val="en-NZ"/>
              </w:rPr>
              <w:t>Months of Cash Expense Cover</w:t>
            </w:r>
          </w:p>
        </w:tc>
        <w:tc>
          <w:tcPr>
            <w:tcW w:w="2835" w:type="dxa"/>
          </w:tcPr>
          <w:p w:rsidR="002D4C8B" w:rsidRPr="00DB433A" w:rsidRDefault="0002076F" w:rsidP="002D4C8B">
            <w:pPr>
              <w:pStyle w:val="Sectionintro"/>
              <w:spacing w:before="60" w:after="60" w:line="240" w:lineRule="auto"/>
              <w:cnfStyle w:val="000000100000"/>
              <w:rPr>
                <w:sz w:val="16"/>
                <w:szCs w:val="16"/>
                <w:lang w:val="en-NZ"/>
              </w:rPr>
            </w:pPr>
            <w:r>
              <w:rPr>
                <w:sz w:val="16"/>
                <w:szCs w:val="16"/>
                <w:lang w:val="en-NZ"/>
              </w:rPr>
              <w:t>Cash/Monthly Cash Expenses</w:t>
            </w:r>
          </w:p>
        </w:tc>
        <w:tc>
          <w:tcPr>
            <w:tcW w:w="1985" w:type="dxa"/>
          </w:tcPr>
          <w:p w:rsidR="002D4C8B" w:rsidRPr="00DB433A" w:rsidRDefault="00713041" w:rsidP="002D4C8B">
            <w:pPr>
              <w:pStyle w:val="Sectionintro"/>
              <w:spacing w:before="60" w:after="60" w:line="240" w:lineRule="auto"/>
              <w:cnfStyle w:val="000000100000"/>
              <w:rPr>
                <w:sz w:val="16"/>
                <w:szCs w:val="16"/>
                <w:lang w:val="en-NZ"/>
              </w:rPr>
            </w:pPr>
            <w:r>
              <w:rPr>
                <w:sz w:val="16"/>
                <w:szCs w:val="16"/>
                <w:lang w:val="en-NZ"/>
              </w:rPr>
              <w:t>2</w:t>
            </w:r>
          </w:p>
        </w:tc>
        <w:tc>
          <w:tcPr>
            <w:tcW w:w="3685" w:type="dxa"/>
          </w:tcPr>
          <w:p w:rsidR="002D4C8B" w:rsidRPr="00DB433A" w:rsidRDefault="00713041" w:rsidP="002D4C8B">
            <w:pPr>
              <w:pStyle w:val="Sectionintro"/>
              <w:spacing w:before="60" w:after="60" w:line="240" w:lineRule="auto"/>
              <w:cnfStyle w:val="000000100000"/>
              <w:rPr>
                <w:sz w:val="16"/>
                <w:szCs w:val="16"/>
                <w:lang w:val="en-NZ"/>
              </w:rPr>
            </w:pPr>
            <w:r>
              <w:rPr>
                <w:sz w:val="16"/>
                <w:szCs w:val="16"/>
                <w:lang w:val="en-NZ"/>
              </w:rPr>
              <w:t>At least 60 days (2 months) of cash expense cover</w:t>
            </w:r>
          </w:p>
        </w:tc>
      </w:tr>
    </w:tbl>
    <w:p w:rsidR="002D4C8B" w:rsidRPr="00DB433A" w:rsidRDefault="002D4C8B" w:rsidP="002D4C8B">
      <w:pPr>
        <w:pStyle w:val="Heading1BlueNumbered"/>
        <w:numPr>
          <w:ilvl w:val="0"/>
          <w:numId w:val="0"/>
        </w:numPr>
        <w:ind w:left="851" w:hanging="851"/>
      </w:pPr>
      <w:r w:rsidRPr="00DB433A">
        <w:lastRenderedPageBreak/>
        <w:t>Results of Analysis</w:t>
      </w:r>
    </w:p>
    <w:p w:rsidR="004F4D35" w:rsidRDefault="00902D62">
      <w:pPr>
        <w:rPr>
          <w:lang w:val="en-NZ"/>
        </w:rPr>
      </w:pPr>
      <w:r w:rsidRPr="00DB433A">
        <w:rPr>
          <w:lang w:val="en-NZ"/>
        </w:rPr>
        <w:t xml:space="preserve">Of the </w:t>
      </w:r>
      <w:r w:rsidR="0037197F" w:rsidRPr="00DB433A">
        <w:rPr>
          <w:lang w:val="en-NZ"/>
        </w:rPr>
        <w:t>2140</w:t>
      </w:r>
      <w:r w:rsidRPr="00DB433A">
        <w:rPr>
          <w:lang w:val="en-NZ"/>
        </w:rPr>
        <w:t xml:space="preserve"> schools listed in FY15 FIDS dat</w:t>
      </w:r>
      <w:r w:rsidR="004F4D35">
        <w:rPr>
          <w:lang w:val="en-NZ"/>
        </w:rPr>
        <w:t>a, only 16 passed the filters above. This result suggests that very few schools have large cash reserves to fund schools’ activities.</w:t>
      </w:r>
    </w:p>
    <w:p w:rsidR="00F84FB1" w:rsidRDefault="004F4D35" w:rsidP="004F4D35">
      <w:pPr>
        <w:rPr>
          <w:lang w:val="en-NZ"/>
        </w:rPr>
      </w:pPr>
      <w:r>
        <w:rPr>
          <w:lang w:val="en-NZ"/>
        </w:rPr>
        <w:t>There are different reasons a school might be cash-rich at a point in time, e.g. after completing sales of land, while seeking to co-fund capital investment.</w:t>
      </w:r>
    </w:p>
    <w:p w:rsidR="004F4D35" w:rsidRPr="004F4D35" w:rsidRDefault="004F4D35" w:rsidP="004F4D35">
      <w:pPr>
        <w:rPr>
          <w:lang w:val="en-NZ"/>
        </w:rPr>
      </w:pPr>
      <w:r>
        <w:rPr>
          <w:lang w:val="en-NZ"/>
        </w:rPr>
        <w:t>Note our analysis could not take into account cash reserves of bodies associated with schools (e.g. trusts), nor did we have time-series data to review trends.</w:t>
      </w:r>
    </w:p>
    <w:p w:rsidR="00255511" w:rsidRPr="00DB433A" w:rsidRDefault="00255511">
      <w:pPr>
        <w:spacing w:after="200" w:line="276" w:lineRule="auto"/>
        <w:rPr>
          <w:sz w:val="60"/>
          <w:lang w:val="en-NZ"/>
        </w:rPr>
      </w:pPr>
      <w:r w:rsidRPr="00DB433A">
        <w:rPr>
          <w:lang w:val="en-NZ"/>
        </w:rPr>
        <w:br w:type="page"/>
      </w:r>
    </w:p>
    <w:p w:rsidR="00287604" w:rsidRPr="00DB433A" w:rsidRDefault="00287604" w:rsidP="00287604">
      <w:pPr>
        <w:pStyle w:val="Sectiontitle"/>
        <w:rPr>
          <w:lang w:val="en-NZ"/>
        </w:rPr>
      </w:pPr>
      <w:bookmarkStart w:id="5" w:name="_Toc463604447"/>
      <w:r w:rsidRPr="00DB433A">
        <w:rPr>
          <w:lang w:val="en-NZ"/>
        </w:rPr>
        <w:lastRenderedPageBreak/>
        <w:t>Expenditure overview</w:t>
      </w:r>
      <w:bookmarkEnd w:id="5"/>
    </w:p>
    <w:p w:rsidR="00287604" w:rsidRPr="00DB433A" w:rsidRDefault="00287604" w:rsidP="00287604">
      <w:pPr>
        <w:pStyle w:val="Sectionintro"/>
        <w:rPr>
          <w:lang w:val="en-NZ"/>
        </w:rPr>
      </w:pPr>
      <w:r w:rsidRPr="00DB433A">
        <w:rPr>
          <w:lang w:val="en-NZ"/>
        </w:rPr>
        <w:t>Summary</w:t>
      </w:r>
    </w:p>
    <w:p w:rsidR="00287604" w:rsidRPr="00DB433A" w:rsidRDefault="00287604" w:rsidP="00287604">
      <w:pPr>
        <w:rPr>
          <w:lang w:val="en-NZ"/>
        </w:rPr>
      </w:pPr>
      <w:r w:rsidRPr="00DB433A">
        <w:rPr>
          <w:lang w:val="en-NZ"/>
        </w:rPr>
        <w:t>In this section, we have provided an overview of total operating expenditure by schools across various categories. There is a separate section below with specific analysis of staffing.</w:t>
      </w:r>
    </w:p>
    <w:p w:rsidR="00287604" w:rsidRPr="00DB433A" w:rsidRDefault="00287604" w:rsidP="00287604">
      <w:pPr>
        <w:rPr>
          <w:lang w:val="en-NZ"/>
        </w:rPr>
      </w:pPr>
      <w:r w:rsidRPr="00DB433A">
        <w:rPr>
          <w:lang w:val="en-NZ"/>
        </w:rPr>
        <w:t>Our analysis has identified four findings we believe are of particular interest.</w:t>
      </w:r>
    </w:p>
    <w:p w:rsidR="00287604" w:rsidRPr="00DB433A" w:rsidRDefault="00287604" w:rsidP="00287604">
      <w:pPr>
        <w:pStyle w:val="Heading1BlueNumbered"/>
        <w:numPr>
          <w:ilvl w:val="0"/>
          <w:numId w:val="0"/>
        </w:numPr>
        <w:ind w:left="851" w:hanging="851"/>
      </w:pPr>
      <w:r w:rsidRPr="00DB433A">
        <w:t>Relationship between funding sources and expenditure</w:t>
      </w:r>
    </w:p>
    <w:p w:rsidR="00EE3319" w:rsidRPr="00DB433A" w:rsidRDefault="00EE3319" w:rsidP="00EE3319">
      <w:pPr>
        <w:rPr>
          <w:lang w:val="en-NZ"/>
        </w:rPr>
      </w:pPr>
      <w:r>
        <w:rPr>
          <w:lang w:val="en-NZ"/>
        </w:rPr>
        <w:t>S</w:t>
      </w:r>
      <w:r w:rsidRPr="00DB433A">
        <w:rPr>
          <w:lang w:val="en-NZ"/>
        </w:rPr>
        <w:t xml:space="preserve">chools do not </w:t>
      </w:r>
      <w:r>
        <w:rPr>
          <w:lang w:val="en-NZ"/>
        </w:rPr>
        <w:t xml:space="preserve">tend to </w:t>
      </w:r>
      <w:r w:rsidRPr="00DB433A">
        <w:rPr>
          <w:lang w:val="en-NZ"/>
        </w:rPr>
        <w:t>relate specific line items of expenditure to specific line items of funding. While the funding line items are occasionally used as guidance by schools, the general approach is that all funding goes into a “pot” and then all expenditure draws from that pot. For example, if a school subsidises co-curricular activity such as cultural or sports groups, it does not specifically consider whether that money comes from the Ministry’s operations grant, surplus revenue from international students, or general donations.</w:t>
      </w:r>
    </w:p>
    <w:p w:rsidR="00EE3319" w:rsidRPr="00DB433A" w:rsidRDefault="00EE3319" w:rsidP="00EE3319">
      <w:pPr>
        <w:rPr>
          <w:lang w:val="en-NZ"/>
        </w:rPr>
      </w:pPr>
      <w:r w:rsidRPr="00DB433A">
        <w:rPr>
          <w:lang w:val="en-NZ"/>
        </w:rPr>
        <w:t>This excludes specific programmes, or where schools raise local funds for specific purposes (e.g. school trips or equipment).</w:t>
      </w:r>
    </w:p>
    <w:p w:rsidR="00287604" w:rsidRPr="00DB433A" w:rsidRDefault="00287604" w:rsidP="00287604">
      <w:pPr>
        <w:pStyle w:val="Heading1BlueNumbered"/>
        <w:numPr>
          <w:ilvl w:val="0"/>
          <w:numId w:val="0"/>
        </w:numPr>
        <w:ind w:left="851" w:hanging="851"/>
      </w:pPr>
      <w:r w:rsidRPr="00DB433A">
        <w:t>Distribution of expenditure varies</w:t>
      </w:r>
    </w:p>
    <w:p w:rsidR="00EE3319" w:rsidRDefault="00EE3319" w:rsidP="00EE3319">
      <w:pPr>
        <w:rPr>
          <w:lang w:val="en-NZ"/>
        </w:rPr>
      </w:pPr>
      <w:r w:rsidRPr="00DB433A">
        <w:rPr>
          <w:lang w:val="en-NZ"/>
        </w:rPr>
        <w:t xml:space="preserve">The pattern of expenditure across individual schools varies </w:t>
      </w:r>
      <w:r>
        <w:rPr>
          <w:lang w:val="en-NZ"/>
        </w:rPr>
        <w:t xml:space="preserve">more for primary and intermediate schools than for secondary schools. Generally, average expenditure per student trends down as roll size increases. The table below shows the levels of variation via the proportion of schools within a percentage margin of the moving </w:t>
      </w:r>
      <w:r w:rsidR="005471C1">
        <w:rPr>
          <w:lang w:val="en-NZ"/>
        </w:rPr>
        <w:t xml:space="preserve">average </w:t>
      </w:r>
      <w:r>
        <w:rPr>
          <w:rStyle w:val="FootnoteReference"/>
          <w:lang w:val="en-NZ"/>
        </w:rPr>
        <w:t xml:space="preserve"> </w:t>
      </w:r>
      <w:r>
        <w:rPr>
          <w:lang w:val="en-NZ"/>
        </w:rPr>
        <w:t>(for roll size 100+ for primary and intermediates; roll size 500+ for secondary).</w:t>
      </w:r>
    </w:p>
    <w:tbl>
      <w:tblPr>
        <w:tblW w:w="6860" w:type="dxa"/>
        <w:tblInd w:w="93" w:type="dxa"/>
        <w:tblLook w:val="04A0"/>
      </w:tblPr>
      <w:tblGrid>
        <w:gridCol w:w="2780"/>
        <w:gridCol w:w="1360"/>
        <w:gridCol w:w="1360"/>
        <w:gridCol w:w="1360"/>
      </w:tblGrid>
      <w:tr w:rsidR="00EE3319" w:rsidRPr="001737F2" w:rsidTr="00385814">
        <w:trPr>
          <w:trHeight w:val="300"/>
        </w:trPr>
        <w:tc>
          <w:tcPr>
            <w:tcW w:w="6860" w:type="dxa"/>
            <w:gridSpan w:val="4"/>
            <w:tcBorders>
              <w:top w:val="single" w:sz="8" w:space="0" w:color="86BC25"/>
              <w:left w:val="single" w:sz="8" w:space="0" w:color="86BC25"/>
              <w:bottom w:val="single" w:sz="8" w:space="0" w:color="86BC25"/>
              <w:right w:val="nil"/>
            </w:tcBorders>
            <w:shd w:val="clear" w:color="000000" w:fill="86BC25"/>
            <w:vAlign w:val="center"/>
            <w:hideMark/>
          </w:tcPr>
          <w:p w:rsidR="00EE3319" w:rsidRPr="001737F2" w:rsidRDefault="00EE3319"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Proportion of schools within X% of moving average</w:t>
            </w:r>
          </w:p>
        </w:tc>
      </w:tr>
      <w:tr w:rsidR="00EE3319" w:rsidRPr="001737F2" w:rsidTr="00385814">
        <w:trPr>
          <w:trHeight w:val="300"/>
        </w:trPr>
        <w:tc>
          <w:tcPr>
            <w:tcW w:w="2780" w:type="dxa"/>
            <w:tcBorders>
              <w:top w:val="nil"/>
              <w:left w:val="single" w:sz="8" w:space="0" w:color="86BC25"/>
              <w:bottom w:val="nil"/>
              <w:right w:val="nil"/>
            </w:tcBorders>
            <w:shd w:val="clear" w:color="000000" w:fill="86BC25"/>
            <w:vAlign w:val="center"/>
            <w:hideMark/>
          </w:tcPr>
          <w:p w:rsidR="00EE3319" w:rsidRPr="001737F2" w:rsidRDefault="00EE3319" w:rsidP="00385814">
            <w:pPr>
              <w:spacing w:after="0" w:line="240" w:lineRule="auto"/>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 </w:t>
            </w:r>
          </w:p>
        </w:tc>
        <w:tc>
          <w:tcPr>
            <w:tcW w:w="1360" w:type="dxa"/>
            <w:tcBorders>
              <w:top w:val="nil"/>
              <w:left w:val="nil"/>
              <w:bottom w:val="nil"/>
              <w:right w:val="nil"/>
            </w:tcBorders>
            <w:shd w:val="clear" w:color="000000" w:fill="86BC25"/>
            <w:vAlign w:val="center"/>
            <w:hideMark/>
          </w:tcPr>
          <w:p w:rsidR="00EE3319" w:rsidRPr="001737F2" w:rsidRDefault="00EE3319"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10%</w:t>
            </w:r>
          </w:p>
        </w:tc>
        <w:tc>
          <w:tcPr>
            <w:tcW w:w="1360" w:type="dxa"/>
            <w:tcBorders>
              <w:top w:val="nil"/>
              <w:left w:val="nil"/>
              <w:bottom w:val="nil"/>
              <w:right w:val="nil"/>
            </w:tcBorders>
            <w:shd w:val="clear" w:color="000000" w:fill="86BC25"/>
            <w:vAlign w:val="center"/>
            <w:hideMark/>
          </w:tcPr>
          <w:p w:rsidR="00EE3319" w:rsidRPr="001737F2" w:rsidRDefault="00EE3319"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15%</w:t>
            </w:r>
          </w:p>
        </w:tc>
        <w:tc>
          <w:tcPr>
            <w:tcW w:w="1360" w:type="dxa"/>
            <w:tcBorders>
              <w:top w:val="nil"/>
              <w:left w:val="nil"/>
              <w:bottom w:val="nil"/>
              <w:right w:val="nil"/>
            </w:tcBorders>
            <w:shd w:val="clear" w:color="000000" w:fill="86BC25"/>
            <w:vAlign w:val="center"/>
            <w:hideMark/>
          </w:tcPr>
          <w:p w:rsidR="00EE3319" w:rsidRPr="001737F2" w:rsidRDefault="00EE3319"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20%</w:t>
            </w:r>
          </w:p>
        </w:tc>
      </w:tr>
      <w:tr w:rsidR="00EE3319" w:rsidRPr="001737F2" w:rsidTr="00385814">
        <w:trPr>
          <w:trHeight w:val="300"/>
        </w:trPr>
        <w:tc>
          <w:tcPr>
            <w:tcW w:w="2780" w:type="dxa"/>
            <w:tcBorders>
              <w:top w:val="single" w:sz="8" w:space="0" w:color="86BC25"/>
              <w:left w:val="single" w:sz="8" w:space="0" w:color="86BC25"/>
              <w:bottom w:val="single" w:sz="8" w:space="0" w:color="86BC25"/>
              <w:right w:val="nil"/>
            </w:tcBorders>
            <w:shd w:val="clear" w:color="auto" w:fill="auto"/>
            <w:vAlign w:val="center"/>
            <w:hideMark/>
          </w:tcPr>
          <w:p w:rsidR="00EE3319" w:rsidRPr="001737F2" w:rsidRDefault="00EE3319" w:rsidP="00385814">
            <w:pPr>
              <w:spacing w:after="0" w:line="240" w:lineRule="auto"/>
              <w:rPr>
                <w:rFonts w:ascii="Verdana" w:eastAsia="Times New Roman" w:hAnsi="Verdana" w:cs="Arial"/>
                <w:b/>
                <w:bCs/>
                <w:color w:val="000000"/>
                <w:szCs w:val="18"/>
                <w:lang w:val="en-NZ" w:eastAsia="en-NZ"/>
              </w:rPr>
            </w:pPr>
            <w:r w:rsidRPr="001737F2">
              <w:rPr>
                <w:rFonts w:ascii="Verdana" w:eastAsia="Times New Roman" w:hAnsi="Verdana" w:cs="Arial"/>
                <w:b/>
                <w:bCs/>
                <w:color w:val="000000"/>
                <w:szCs w:val="18"/>
                <w:lang w:val="en-NZ" w:eastAsia="en-NZ"/>
              </w:rPr>
              <w:t>Primary &amp; Intermediate</w:t>
            </w:r>
          </w:p>
        </w:tc>
        <w:tc>
          <w:tcPr>
            <w:tcW w:w="1360" w:type="dxa"/>
            <w:tcBorders>
              <w:top w:val="single" w:sz="8" w:space="0" w:color="86BC25"/>
              <w:left w:val="nil"/>
              <w:bottom w:val="single" w:sz="8" w:space="0" w:color="86BC25"/>
              <w:right w:val="nil"/>
            </w:tcBorders>
            <w:shd w:val="clear" w:color="auto" w:fill="auto"/>
            <w:vAlign w:val="center"/>
            <w:hideMark/>
          </w:tcPr>
          <w:p w:rsidR="00EE3319" w:rsidRPr="001737F2" w:rsidRDefault="00EE3319" w:rsidP="00385814">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46%</w:t>
            </w:r>
          </w:p>
        </w:tc>
        <w:tc>
          <w:tcPr>
            <w:tcW w:w="1360" w:type="dxa"/>
            <w:tcBorders>
              <w:top w:val="single" w:sz="8" w:space="0" w:color="86BC25"/>
              <w:left w:val="nil"/>
              <w:bottom w:val="single" w:sz="8" w:space="0" w:color="86BC25"/>
              <w:right w:val="nil"/>
            </w:tcBorders>
            <w:shd w:val="clear" w:color="auto" w:fill="auto"/>
            <w:vAlign w:val="center"/>
            <w:hideMark/>
          </w:tcPr>
          <w:p w:rsidR="00EE3319" w:rsidRPr="001737F2" w:rsidRDefault="00EE3319" w:rsidP="00385814">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73%</w:t>
            </w:r>
          </w:p>
        </w:tc>
        <w:tc>
          <w:tcPr>
            <w:tcW w:w="1360" w:type="dxa"/>
            <w:tcBorders>
              <w:top w:val="single" w:sz="8" w:space="0" w:color="86BC25"/>
              <w:left w:val="nil"/>
              <w:bottom w:val="single" w:sz="8" w:space="0" w:color="86BC25"/>
              <w:right w:val="single" w:sz="8" w:space="0" w:color="86BC25"/>
            </w:tcBorders>
            <w:shd w:val="clear" w:color="auto" w:fill="auto"/>
            <w:vAlign w:val="center"/>
            <w:hideMark/>
          </w:tcPr>
          <w:p w:rsidR="00EE3319" w:rsidRPr="001737F2" w:rsidRDefault="00EE3319" w:rsidP="00385814">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92%</w:t>
            </w:r>
          </w:p>
        </w:tc>
      </w:tr>
      <w:tr w:rsidR="00EE3319" w:rsidRPr="001737F2" w:rsidTr="00385814">
        <w:trPr>
          <w:trHeight w:val="300"/>
        </w:trPr>
        <w:tc>
          <w:tcPr>
            <w:tcW w:w="2780" w:type="dxa"/>
            <w:tcBorders>
              <w:top w:val="nil"/>
              <w:left w:val="single" w:sz="8" w:space="0" w:color="86BC25"/>
              <w:bottom w:val="single" w:sz="8" w:space="0" w:color="86BC25"/>
              <w:right w:val="nil"/>
            </w:tcBorders>
            <w:shd w:val="clear" w:color="auto" w:fill="auto"/>
            <w:vAlign w:val="center"/>
            <w:hideMark/>
          </w:tcPr>
          <w:p w:rsidR="00EE3319" w:rsidRPr="001737F2" w:rsidRDefault="00EE3319" w:rsidP="00385814">
            <w:pPr>
              <w:spacing w:after="0" w:line="240" w:lineRule="auto"/>
              <w:rPr>
                <w:rFonts w:ascii="Verdana" w:eastAsia="Times New Roman" w:hAnsi="Verdana" w:cs="Arial"/>
                <w:b/>
                <w:bCs/>
                <w:color w:val="000000"/>
                <w:szCs w:val="18"/>
                <w:lang w:val="en-NZ" w:eastAsia="en-NZ"/>
              </w:rPr>
            </w:pPr>
            <w:r w:rsidRPr="001737F2">
              <w:rPr>
                <w:rFonts w:ascii="Verdana" w:eastAsia="Times New Roman" w:hAnsi="Verdana" w:cs="Arial"/>
                <w:b/>
                <w:bCs/>
                <w:color w:val="000000"/>
                <w:szCs w:val="18"/>
                <w:lang w:val="en-NZ" w:eastAsia="en-NZ"/>
              </w:rPr>
              <w:t>Secondary</w:t>
            </w:r>
          </w:p>
        </w:tc>
        <w:tc>
          <w:tcPr>
            <w:tcW w:w="1360" w:type="dxa"/>
            <w:tcBorders>
              <w:top w:val="nil"/>
              <w:left w:val="nil"/>
              <w:bottom w:val="single" w:sz="8" w:space="0" w:color="86BC25"/>
              <w:right w:val="nil"/>
            </w:tcBorders>
            <w:shd w:val="clear" w:color="auto" w:fill="auto"/>
            <w:vAlign w:val="center"/>
            <w:hideMark/>
          </w:tcPr>
          <w:p w:rsidR="00EE3319" w:rsidRPr="001737F2" w:rsidRDefault="00EE3319" w:rsidP="00385814">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59%</w:t>
            </w:r>
          </w:p>
        </w:tc>
        <w:tc>
          <w:tcPr>
            <w:tcW w:w="1360" w:type="dxa"/>
            <w:tcBorders>
              <w:top w:val="nil"/>
              <w:left w:val="nil"/>
              <w:bottom w:val="single" w:sz="8" w:space="0" w:color="86BC25"/>
              <w:right w:val="nil"/>
            </w:tcBorders>
            <w:shd w:val="clear" w:color="auto" w:fill="auto"/>
            <w:vAlign w:val="center"/>
            <w:hideMark/>
          </w:tcPr>
          <w:p w:rsidR="00EE3319" w:rsidRPr="001737F2" w:rsidRDefault="00CA5478" w:rsidP="00385814">
            <w:pPr>
              <w:spacing w:after="0" w:line="240" w:lineRule="auto"/>
              <w:jc w:val="center"/>
              <w:rPr>
                <w:rFonts w:ascii="Verdana" w:eastAsia="Times New Roman" w:hAnsi="Verdana" w:cs="Arial"/>
                <w:color w:val="000000"/>
                <w:szCs w:val="18"/>
                <w:lang w:val="en-NZ" w:eastAsia="en-NZ"/>
              </w:rPr>
            </w:pPr>
            <w:r>
              <w:rPr>
                <w:rFonts w:ascii="Verdana" w:eastAsia="Times New Roman" w:hAnsi="Verdana" w:cs="Arial"/>
                <w:color w:val="000000"/>
                <w:szCs w:val="18"/>
                <w:lang w:val="en-NZ" w:eastAsia="en-NZ"/>
              </w:rPr>
              <w:t>84</w:t>
            </w:r>
            <w:r w:rsidR="00EE3319" w:rsidRPr="001737F2">
              <w:rPr>
                <w:rFonts w:ascii="Verdana" w:eastAsia="Times New Roman" w:hAnsi="Verdana" w:cs="Arial"/>
                <w:color w:val="000000"/>
                <w:szCs w:val="18"/>
                <w:lang w:val="en-NZ" w:eastAsia="en-NZ"/>
              </w:rPr>
              <w:t>%</w:t>
            </w:r>
          </w:p>
        </w:tc>
        <w:tc>
          <w:tcPr>
            <w:tcW w:w="1360" w:type="dxa"/>
            <w:tcBorders>
              <w:top w:val="nil"/>
              <w:left w:val="nil"/>
              <w:bottom w:val="single" w:sz="8" w:space="0" w:color="86BC25"/>
              <w:right w:val="single" w:sz="8" w:space="0" w:color="86BC25"/>
            </w:tcBorders>
            <w:shd w:val="clear" w:color="auto" w:fill="auto"/>
            <w:vAlign w:val="center"/>
            <w:hideMark/>
          </w:tcPr>
          <w:p w:rsidR="00EE3319" w:rsidRPr="001737F2" w:rsidRDefault="00EE3319" w:rsidP="00CA5478">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9</w:t>
            </w:r>
            <w:r w:rsidR="00CA5478">
              <w:rPr>
                <w:rFonts w:ascii="Verdana" w:eastAsia="Times New Roman" w:hAnsi="Verdana" w:cs="Arial"/>
                <w:color w:val="000000"/>
                <w:szCs w:val="18"/>
                <w:lang w:val="en-NZ" w:eastAsia="en-NZ"/>
              </w:rPr>
              <w:t>9</w:t>
            </w:r>
            <w:r w:rsidRPr="001737F2">
              <w:rPr>
                <w:rFonts w:ascii="Verdana" w:eastAsia="Times New Roman" w:hAnsi="Verdana" w:cs="Arial"/>
                <w:color w:val="000000"/>
                <w:szCs w:val="18"/>
                <w:lang w:val="en-NZ" w:eastAsia="en-NZ"/>
              </w:rPr>
              <w:t>%</w:t>
            </w:r>
          </w:p>
        </w:tc>
      </w:tr>
    </w:tbl>
    <w:p w:rsidR="00EE3319" w:rsidRDefault="00EE3319" w:rsidP="00EE3319">
      <w:pPr>
        <w:spacing w:after="0"/>
        <w:rPr>
          <w:lang w:val="en-NZ"/>
        </w:rPr>
      </w:pPr>
    </w:p>
    <w:p w:rsidR="00EE3319" w:rsidRPr="00DB433A" w:rsidRDefault="00EE3319" w:rsidP="00EE3319">
      <w:pPr>
        <w:rPr>
          <w:lang w:val="en-NZ"/>
        </w:rPr>
      </w:pPr>
      <w:r>
        <w:rPr>
          <w:lang w:val="en-NZ"/>
        </w:rPr>
        <w:t xml:space="preserve">Note the distribution of expenditure is predominantly driven by the way </w:t>
      </w:r>
      <w:r w:rsidR="006519DE">
        <w:rPr>
          <w:lang w:val="en-NZ"/>
        </w:rPr>
        <w:t>government</w:t>
      </w:r>
      <w:r>
        <w:rPr>
          <w:lang w:val="en-NZ"/>
        </w:rPr>
        <w:t xml:space="preserve"> funds, which is determined by a range of factors (see above).</w:t>
      </w:r>
    </w:p>
    <w:p w:rsidR="00E102B8" w:rsidRPr="00DB433A" w:rsidRDefault="00E102B8" w:rsidP="00E102B8">
      <w:pPr>
        <w:pStyle w:val="Heading1BlueNumbered"/>
        <w:numPr>
          <w:ilvl w:val="0"/>
          <w:numId w:val="0"/>
        </w:numPr>
      </w:pPr>
      <w:r>
        <w:t>Average expenditure per student levels off at different points for different school types</w:t>
      </w:r>
    </w:p>
    <w:p w:rsidR="00E102B8" w:rsidRDefault="00E102B8" w:rsidP="00E102B8">
      <w:pPr>
        <w:rPr>
          <w:lang w:val="en-NZ"/>
        </w:rPr>
      </w:pPr>
      <w:r w:rsidRPr="00DB433A">
        <w:rPr>
          <w:lang w:val="en-NZ"/>
        </w:rPr>
        <w:t xml:space="preserve">The average expenditure per student levels off rapidly for primary </w:t>
      </w:r>
      <w:r>
        <w:rPr>
          <w:lang w:val="en-NZ"/>
        </w:rPr>
        <w:t xml:space="preserve">and intermediate </w:t>
      </w:r>
      <w:r w:rsidRPr="00DB433A">
        <w:rPr>
          <w:lang w:val="en-NZ"/>
        </w:rPr>
        <w:t>schools with roll-sizes of around 100 students or more, with modest decline for increasing number of students thereafter. Conversely, the average expenditure per student for secondary schools only levels off from around 750 students.</w:t>
      </w:r>
    </w:p>
    <w:p w:rsidR="00E102B8" w:rsidRPr="00DB433A" w:rsidRDefault="00E102B8" w:rsidP="00E102B8">
      <w:pPr>
        <w:rPr>
          <w:lang w:val="en-NZ"/>
        </w:rPr>
      </w:pPr>
      <w:r>
        <w:rPr>
          <w:lang w:val="en-NZ"/>
        </w:rPr>
        <w:t xml:space="preserve">It is unclear whether those patterns are indicative of different economies of scale for the different types of school because overall expenditure is driven </w:t>
      </w:r>
      <w:r>
        <w:rPr>
          <w:lang w:val="en-NZ"/>
        </w:rPr>
        <w:lastRenderedPageBreak/>
        <w:t xml:space="preserve">predominantly by how </w:t>
      </w:r>
      <w:r w:rsidR="006519DE">
        <w:rPr>
          <w:lang w:val="en-NZ"/>
        </w:rPr>
        <w:t>government</w:t>
      </w:r>
      <w:r>
        <w:rPr>
          <w:lang w:val="en-NZ"/>
        </w:rPr>
        <w:t xml:space="preserve"> funds schools – i.e. the pattern simply reflects funding rather than real economies.</w:t>
      </w:r>
    </w:p>
    <w:p w:rsidR="00287604" w:rsidRPr="00DB433A" w:rsidRDefault="00287604" w:rsidP="00287604">
      <w:pPr>
        <w:pStyle w:val="Heading1BlueNumbered"/>
        <w:numPr>
          <w:ilvl w:val="0"/>
          <w:numId w:val="0"/>
        </w:numPr>
        <w:ind w:left="851" w:hanging="851"/>
      </w:pPr>
      <w:r w:rsidRPr="00DB433A">
        <w:t>Teacher Aides</w:t>
      </w:r>
    </w:p>
    <w:p w:rsidR="00287604" w:rsidRPr="00DB433A" w:rsidRDefault="00287604" w:rsidP="00287604">
      <w:pPr>
        <w:rPr>
          <w:lang w:val="en-NZ"/>
        </w:rPr>
      </w:pPr>
      <w:r w:rsidRPr="00DB433A">
        <w:rPr>
          <w:lang w:val="en-NZ"/>
        </w:rPr>
        <w:t xml:space="preserve">Employing Teacher Aides is the most significant and common </w:t>
      </w:r>
      <w:r w:rsidR="002233FE">
        <w:rPr>
          <w:lang w:val="en-NZ"/>
        </w:rPr>
        <w:t>expenditure</w:t>
      </w:r>
      <w:r w:rsidRPr="00DB433A">
        <w:rPr>
          <w:lang w:val="en-NZ"/>
        </w:rPr>
        <w:t xml:space="preserve"> s</w:t>
      </w:r>
      <w:r w:rsidR="002233FE">
        <w:rPr>
          <w:lang w:val="en-NZ"/>
        </w:rPr>
        <w:t>c</w:t>
      </w:r>
      <w:r w:rsidRPr="00DB433A">
        <w:rPr>
          <w:lang w:val="en-NZ"/>
        </w:rPr>
        <w:t xml:space="preserve">hools make to reduce barriers to educational achievement for students. 81% of </w:t>
      </w:r>
      <w:r w:rsidR="00FA5273">
        <w:rPr>
          <w:lang w:val="en-NZ"/>
        </w:rPr>
        <w:t xml:space="preserve">the 53 </w:t>
      </w:r>
      <w:r w:rsidRPr="00DB433A">
        <w:rPr>
          <w:lang w:val="en-NZ"/>
        </w:rPr>
        <w:t>respondents to our survey identified this as a key investment, compared with only 28% identifying additional teachers to reduce class sizes.</w:t>
      </w:r>
    </w:p>
    <w:p w:rsidR="00287604" w:rsidRPr="00DB433A" w:rsidRDefault="00287604" w:rsidP="00287604">
      <w:pPr>
        <w:pStyle w:val="Sectionintro"/>
        <w:rPr>
          <w:lang w:val="en-NZ"/>
        </w:rPr>
      </w:pPr>
      <w:r w:rsidRPr="00DB433A">
        <w:rPr>
          <w:lang w:val="en-NZ"/>
        </w:rPr>
        <w:t>Overall composition of expenditure</w:t>
      </w:r>
    </w:p>
    <w:p w:rsidR="00287604" w:rsidRPr="00DB433A" w:rsidRDefault="00287604" w:rsidP="00287604">
      <w:pPr>
        <w:rPr>
          <w:lang w:val="en-NZ"/>
        </w:rPr>
      </w:pPr>
      <w:r w:rsidRPr="00DB433A">
        <w:rPr>
          <w:lang w:val="en-NZ"/>
        </w:rPr>
        <w:t>For the analysis below, we have used FIDS information that consolidates schools’ annual financial statements into several common categories for accounting purposes. We have included the following expenditure categories:</w:t>
      </w:r>
    </w:p>
    <w:p w:rsidR="00287604" w:rsidRPr="00DB433A" w:rsidRDefault="00287604" w:rsidP="00287604">
      <w:pPr>
        <w:pStyle w:val="ListParagraph"/>
        <w:numPr>
          <w:ilvl w:val="0"/>
          <w:numId w:val="20"/>
        </w:numPr>
        <w:rPr>
          <w:lang w:val="en-NZ"/>
        </w:rPr>
      </w:pPr>
      <w:r w:rsidRPr="00DB433A">
        <w:rPr>
          <w:lang w:val="en-NZ"/>
        </w:rPr>
        <w:t>Administration Expenses (including Finance Costs)</w:t>
      </w:r>
    </w:p>
    <w:p w:rsidR="00287604" w:rsidRPr="00DB433A" w:rsidRDefault="00287604" w:rsidP="00287604">
      <w:pPr>
        <w:pStyle w:val="ListParagraph"/>
        <w:numPr>
          <w:ilvl w:val="0"/>
          <w:numId w:val="20"/>
        </w:numPr>
        <w:rPr>
          <w:lang w:val="en-NZ"/>
        </w:rPr>
      </w:pPr>
      <w:r w:rsidRPr="00DB433A">
        <w:rPr>
          <w:lang w:val="en-NZ"/>
        </w:rPr>
        <w:t>Expenditure on Learning Resources</w:t>
      </w:r>
    </w:p>
    <w:p w:rsidR="00287604" w:rsidRPr="00DB433A" w:rsidRDefault="00287604" w:rsidP="00287604">
      <w:pPr>
        <w:pStyle w:val="ListParagraph"/>
        <w:numPr>
          <w:ilvl w:val="0"/>
          <w:numId w:val="20"/>
        </w:numPr>
        <w:rPr>
          <w:lang w:val="en-NZ"/>
        </w:rPr>
      </w:pPr>
      <w:r w:rsidRPr="00DB433A">
        <w:rPr>
          <w:lang w:val="en-NZ"/>
        </w:rPr>
        <w:t>Property Expenses (excluding “Use of land and Buildings” which has an offsetting grant for State Schools)</w:t>
      </w:r>
    </w:p>
    <w:p w:rsidR="00287604" w:rsidRPr="00DB433A" w:rsidRDefault="00287604" w:rsidP="00287604">
      <w:pPr>
        <w:pStyle w:val="ListParagraph"/>
        <w:numPr>
          <w:ilvl w:val="0"/>
          <w:numId w:val="20"/>
        </w:numPr>
        <w:rPr>
          <w:lang w:val="en-NZ"/>
        </w:rPr>
      </w:pPr>
      <w:r w:rsidRPr="00DB433A">
        <w:rPr>
          <w:lang w:val="en-NZ"/>
        </w:rPr>
        <w:t>Other Expenses</w:t>
      </w:r>
    </w:p>
    <w:p w:rsidR="00287604" w:rsidRPr="00DB433A" w:rsidRDefault="00287604" w:rsidP="00287604">
      <w:pPr>
        <w:rPr>
          <w:lang w:val="en-NZ"/>
        </w:rPr>
      </w:pPr>
      <w:r w:rsidRPr="00DB433A">
        <w:rPr>
          <w:lang w:val="en-NZ"/>
        </w:rPr>
        <w:t xml:space="preserve">Overall, Expenditure on Learning Resources represents the majority of schools’ expenditure (including teacher salaries), with </w:t>
      </w:r>
      <w:r w:rsidR="002D2084" w:rsidRPr="00DB433A">
        <w:rPr>
          <w:lang w:val="en-NZ"/>
        </w:rPr>
        <w:t>Property</w:t>
      </w:r>
      <w:r w:rsidRPr="00DB433A">
        <w:rPr>
          <w:lang w:val="en-NZ"/>
        </w:rPr>
        <w:t xml:space="preserve"> Expenses the next highest.</w:t>
      </w:r>
    </w:p>
    <w:p w:rsidR="00287604" w:rsidRPr="00DB433A" w:rsidRDefault="00287604" w:rsidP="00287604">
      <w:pPr>
        <w:pStyle w:val="Heading1BlueNumbered"/>
        <w:numPr>
          <w:ilvl w:val="0"/>
          <w:numId w:val="0"/>
        </w:numPr>
        <w:ind w:left="851" w:hanging="851"/>
      </w:pPr>
      <w:r w:rsidRPr="00DB433A">
        <w:t>Primary and intermediate schools</w:t>
      </w:r>
    </w:p>
    <w:p w:rsidR="00287604" w:rsidRPr="00DB433A" w:rsidRDefault="00287604" w:rsidP="00287604">
      <w:pPr>
        <w:pStyle w:val="Heading2"/>
        <w:rPr>
          <w:lang w:val="en-NZ"/>
        </w:rPr>
      </w:pPr>
      <w:r w:rsidRPr="00DB433A">
        <w:rPr>
          <w:lang w:val="en-NZ"/>
        </w:rPr>
        <w:t>School size</w:t>
      </w:r>
    </w:p>
    <w:p w:rsidR="00287604" w:rsidRDefault="00287604" w:rsidP="00287604">
      <w:pPr>
        <w:rPr>
          <w:lang w:val="en-NZ"/>
        </w:rPr>
      </w:pPr>
      <w:r w:rsidRPr="00DB433A">
        <w:rPr>
          <w:lang w:val="en-NZ"/>
        </w:rPr>
        <w:t>The chart below shows the average proportion of expenditure across expenditure categories by groupings of school size:</w:t>
      </w:r>
    </w:p>
    <w:p w:rsidR="00287604" w:rsidRPr="00DB433A" w:rsidRDefault="00AE43E4" w:rsidP="002233FE">
      <w:pPr>
        <w:spacing w:after="0"/>
        <w:rPr>
          <w:lang w:val="en-NZ"/>
        </w:rPr>
      </w:pPr>
      <w:r>
        <w:rPr>
          <w:noProof/>
          <w:lang w:val="en-NZ" w:eastAsia="en-NZ"/>
        </w:rPr>
        <w:drawing>
          <wp:inline distT="0" distB="0" distL="0" distR="0">
            <wp:extent cx="4319523" cy="2510209"/>
            <wp:effectExtent l="0" t="0" r="5080" b="444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233FE" w:rsidRPr="004B33E5" w:rsidRDefault="002233FE" w:rsidP="002233FE">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1,751</w:t>
      </w:r>
      <w:r w:rsidRPr="004B33E5">
        <w:rPr>
          <w:i/>
          <w:lang w:val="en-NZ"/>
        </w:rPr>
        <w:t xml:space="preserve"> schools</w:t>
      </w:r>
    </w:p>
    <w:p w:rsidR="00287604" w:rsidRPr="00DB433A" w:rsidRDefault="00287604" w:rsidP="00287604">
      <w:pPr>
        <w:rPr>
          <w:lang w:val="en-NZ"/>
        </w:rPr>
      </w:pPr>
      <w:r w:rsidRPr="00DB433A">
        <w:rPr>
          <w:lang w:val="en-NZ"/>
        </w:rPr>
        <w:t>This shows that smaller schools spend proportionally less on Learning Resources than larger schools due to fixed costs associated with running a school (particularly Property and Administration).</w:t>
      </w:r>
    </w:p>
    <w:p w:rsidR="00287604" w:rsidRPr="00DB433A" w:rsidRDefault="00287604" w:rsidP="00287604">
      <w:pPr>
        <w:rPr>
          <w:lang w:val="en-NZ"/>
        </w:rPr>
      </w:pPr>
      <w:r w:rsidRPr="00DB433A">
        <w:rPr>
          <w:lang w:val="en-NZ"/>
        </w:rPr>
        <w:lastRenderedPageBreak/>
        <w:t>Looking at average expenditure per student (refer chart below) shows smaller schools tend to spend more across all categories than larger schools.</w:t>
      </w:r>
    </w:p>
    <w:p w:rsidR="00287604" w:rsidRDefault="00AE43E4" w:rsidP="002233FE">
      <w:pPr>
        <w:spacing w:after="0"/>
        <w:rPr>
          <w:lang w:val="en-NZ"/>
        </w:rPr>
      </w:pPr>
      <w:r>
        <w:rPr>
          <w:noProof/>
          <w:lang w:val="en-NZ" w:eastAsia="en-NZ"/>
        </w:rPr>
        <w:drawing>
          <wp:inline distT="0" distB="0" distL="0" distR="0">
            <wp:extent cx="4315521" cy="2634675"/>
            <wp:effectExtent l="0" t="0" r="889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33FE" w:rsidRPr="004B33E5" w:rsidRDefault="002233FE" w:rsidP="002233FE">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1,751</w:t>
      </w:r>
      <w:r w:rsidRPr="004B33E5">
        <w:rPr>
          <w:i/>
          <w:lang w:val="en-NZ"/>
        </w:rPr>
        <w:t xml:space="preserve"> schools</w:t>
      </w:r>
    </w:p>
    <w:p w:rsidR="00287604" w:rsidRPr="00DB433A" w:rsidRDefault="00287604" w:rsidP="00287604">
      <w:pPr>
        <w:rPr>
          <w:lang w:val="en-NZ"/>
        </w:rPr>
      </w:pPr>
      <w:r w:rsidRPr="00DB433A">
        <w:rPr>
          <w:lang w:val="en-NZ"/>
        </w:rPr>
        <w:t>This reflects that a minimum number of teachers / staff are r</w:t>
      </w:r>
      <w:r>
        <w:rPr>
          <w:lang w:val="en-NZ"/>
        </w:rPr>
        <w:t>equired for very small schools.</w:t>
      </w:r>
    </w:p>
    <w:p w:rsidR="00287604" w:rsidRPr="00DB433A" w:rsidRDefault="00287604" w:rsidP="00287604">
      <w:pPr>
        <w:pStyle w:val="Heading2"/>
        <w:rPr>
          <w:lang w:val="en-NZ"/>
        </w:rPr>
      </w:pPr>
      <w:r w:rsidRPr="00DB433A">
        <w:rPr>
          <w:lang w:val="en-NZ"/>
        </w:rPr>
        <w:t>School decile</w:t>
      </w:r>
    </w:p>
    <w:p w:rsidR="00287604" w:rsidRDefault="00287604" w:rsidP="00287604">
      <w:pPr>
        <w:rPr>
          <w:lang w:val="en-NZ"/>
        </w:rPr>
      </w:pPr>
      <w:r w:rsidRPr="00DB433A">
        <w:rPr>
          <w:lang w:val="en-NZ"/>
        </w:rPr>
        <w:t>The chart below shows the average proportion of expenditure across expenditure categories by school deciles:</w:t>
      </w:r>
    </w:p>
    <w:p w:rsidR="00287604" w:rsidRPr="00DB433A" w:rsidRDefault="00AE43E4" w:rsidP="0046625A">
      <w:pPr>
        <w:spacing w:after="0"/>
        <w:rPr>
          <w:lang w:val="en-NZ"/>
        </w:rPr>
      </w:pPr>
      <w:r>
        <w:rPr>
          <w:noProof/>
          <w:lang w:val="en-NZ" w:eastAsia="en-NZ"/>
        </w:rPr>
        <w:drawing>
          <wp:inline distT="0" distB="0" distL="0" distR="0">
            <wp:extent cx="4315521" cy="2416968"/>
            <wp:effectExtent l="0" t="0" r="8890" b="25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6625A" w:rsidRPr="004B33E5" w:rsidRDefault="0046625A" w:rsidP="0046625A">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1,751</w:t>
      </w:r>
      <w:r w:rsidRPr="004B33E5">
        <w:rPr>
          <w:i/>
          <w:lang w:val="en-NZ"/>
        </w:rPr>
        <w:t xml:space="preserve"> schools</w:t>
      </w:r>
    </w:p>
    <w:p w:rsidR="00287604" w:rsidRPr="00DB433A" w:rsidRDefault="00287604" w:rsidP="00287604">
      <w:pPr>
        <w:rPr>
          <w:lang w:val="en-NZ"/>
        </w:rPr>
      </w:pPr>
      <w:r w:rsidRPr="00DB433A">
        <w:rPr>
          <w:lang w:val="en-NZ"/>
        </w:rPr>
        <w:t>This profile suggests that, proportionally, expenditure is very similar across deciles.</w:t>
      </w:r>
    </w:p>
    <w:p w:rsidR="00287604" w:rsidRDefault="00287604" w:rsidP="00287604">
      <w:pPr>
        <w:rPr>
          <w:lang w:val="en-NZ"/>
        </w:rPr>
      </w:pPr>
      <w:r w:rsidRPr="00DB433A">
        <w:rPr>
          <w:lang w:val="en-NZ"/>
        </w:rPr>
        <w:t xml:space="preserve">Looking at average expenditure per student (refer chart below) shows lower decile schools spend more across all categories than larger schools on </w:t>
      </w:r>
      <w:r w:rsidR="002D2084" w:rsidRPr="00DB433A">
        <w:rPr>
          <w:lang w:val="en-NZ"/>
        </w:rPr>
        <w:t>average</w:t>
      </w:r>
      <w:r w:rsidRPr="00DB433A">
        <w:rPr>
          <w:lang w:val="en-NZ"/>
        </w:rPr>
        <w:t>.</w:t>
      </w:r>
    </w:p>
    <w:p w:rsidR="00287604" w:rsidRPr="00DB433A" w:rsidRDefault="00C955C8" w:rsidP="0046625A">
      <w:pPr>
        <w:spacing w:after="0"/>
        <w:rPr>
          <w:lang w:val="en-NZ"/>
        </w:rPr>
      </w:pPr>
      <w:r>
        <w:rPr>
          <w:noProof/>
          <w:lang w:val="en-NZ" w:eastAsia="en-NZ"/>
        </w:rPr>
        <w:lastRenderedPageBreak/>
        <w:drawing>
          <wp:inline distT="0" distB="0" distL="0" distR="0">
            <wp:extent cx="4327616" cy="2693942"/>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6625A" w:rsidRPr="004B33E5" w:rsidRDefault="0046625A" w:rsidP="0046625A">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1,751</w:t>
      </w:r>
      <w:r w:rsidRPr="004B33E5">
        <w:rPr>
          <w:i/>
          <w:lang w:val="en-NZ"/>
        </w:rPr>
        <w:t xml:space="preserve"> schools</w:t>
      </w:r>
    </w:p>
    <w:p w:rsidR="00287604" w:rsidRDefault="00287604" w:rsidP="00287604">
      <w:pPr>
        <w:rPr>
          <w:lang w:val="en-NZ"/>
        </w:rPr>
      </w:pPr>
      <w:r w:rsidRPr="00DB433A">
        <w:rPr>
          <w:lang w:val="en-NZ"/>
        </w:rPr>
        <w:t>The higher average Learning Resources expenditure comes predomi</w:t>
      </w:r>
      <w:r>
        <w:rPr>
          <w:lang w:val="en-NZ"/>
        </w:rPr>
        <w:t xml:space="preserve">nantly </w:t>
      </w:r>
      <w:r w:rsidRPr="00DB433A">
        <w:rPr>
          <w:lang w:val="en-NZ"/>
        </w:rPr>
        <w:t>from staffing</w:t>
      </w:r>
      <w:r w:rsidR="0046625A">
        <w:rPr>
          <w:lang w:val="en-NZ"/>
        </w:rPr>
        <w:t xml:space="preserve"> (salaries for teachers etc)</w:t>
      </w:r>
      <w:r w:rsidRPr="00DB433A">
        <w:rPr>
          <w:lang w:val="en-NZ"/>
        </w:rPr>
        <w:t>.</w:t>
      </w:r>
    </w:p>
    <w:p w:rsidR="002233FE" w:rsidRPr="00DB433A" w:rsidRDefault="0046625A" w:rsidP="002233FE">
      <w:pPr>
        <w:pStyle w:val="Heading2"/>
        <w:rPr>
          <w:lang w:val="en-NZ"/>
        </w:rPr>
      </w:pPr>
      <w:r>
        <w:rPr>
          <w:lang w:val="en-NZ"/>
        </w:rPr>
        <w:t>Variability</w:t>
      </w:r>
    </w:p>
    <w:p w:rsidR="002233FE" w:rsidRDefault="002233FE" w:rsidP="002233FE">
      <w:pPr>
        <w:rPr>
          <w:lang w:val="en-NZ"/>
        </w:rPr>
      </w:pPr>
      <w:r w:rsidRPr="00DB433A">
        <w:rPr>
          <w:lang w:val="en-NZ"/>
        </w:rPr>
        <w:t xml:space="preserve">The chart below </w:t>
      </w:r>
      <w:r w:rsidR="00C71B7A">
        <w:rPr>
          <w:lang w:val="en-NZ"/>
        </w:rPr>
        <w:t>illustrates</w:t>
      </w:r>
      <w:r w:rsidRPr="00DB433A">
        <w:rPr>
          <w:lang w:val="en-NZ"/>
        </w:rPr>
        <w:t xml:space="preserve"> the </w:t>
      </w:r>
      <w:r w:rsidR="00C71B7A">
        <w:rPr>
          <w:lang w:val="en-NZ"/>
        </w:rPr>
        <w:t>variability of expenditure by student as school size increases</w:t>
      </w:r>
      <w:r w:rsidR="00435702">
        <w:rPr>
          <w:lang w:val="en-NZ"/>
        </w:rPr>
        <w:t xml:space="preserve"> (excludes RTLB lead schools)</w:t>
      </w:r>
      <w:r w:rsidRPr="00DB433A">
        <w:rPr>
          <w:lang w:val="en-NZ"/>
        </w:rPr>
        <w:t>:</w:t>
      </w:r>
    </w:p>
    <w:p w:rsidR="002233FE" w:rsidRDefault="00FF12A7" w:rsidP="00C71B7A">
      <w:pPr>
        <w:spacing w:after="0"/>
        <w:rPr>
          <w:lang w:val="en-NZ"/>
        </w:rPr>
      </w:pPr>
      <w:r>
        <w:rPr>
          <w:noProof/>
          <w:lang w:val="en-NZ" w:eastAsia="en-NZ"/>
        </w:rPr>
        <w:drawing>
          <wp:inline distT="0" distB="0" distL="0" distR="0">
            <wp:extent cx="4410075" cy="2375748"/>
            <wp:effectExtent l="0" t="0" r="0" b="57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71B7A" w:rsidRPr="004B33E5" w:rsidRDefault="00C71B7A" w:rsidP="00C71B7A">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sidR="00CA5478">
        <w:rPr>
          <w:i/>
          <w:lang w:val="en-NZ"/>
        </w:rPr>
        <w:t>1,204</w:t>
      </w:r>
      <w:r w:rsidRPr="004B33E5">
        <w:rPr>
          <w:i/>
          <w:lang w:val="en-NZ"/>
        </w:rPr>
        <w:t xml:space="preserve"> schools</w:t>
      </w:r>
    </w:p>
    <w:p w:rsidR="00EE3319" w:rsidRDefault="00EE3319" w:rsidP="00287604">
      <w:pPr>
        <w:rPr>
          <w:lang w:val="en-NZ"/>
        </w:rPr>
      </w:pPr>
      <w:r>
        <w:rPr>
          <w:lang w:val="en-NZ"/>
        </w:rPr>
        <w:t>To assess the level of variation, we calculated the moving average (for schools of 100+ students, ordered by increasing size) and compared average expenditure per student to that moving average for each school:</w:t>
      </w:r>
    </w:p>
    <w:tbl>
      <w:tblPr>
        <w:tblW w:w="6860" w:type="dxa"/>
        <w:tblInd w:w="93" w:type="dxa"/>
        <w:tblLook w:val="04A0"/>
      </w:tblPr>
      <w:tblGrid>
        <w:gridCol w:w="2780"/>
        <w:gridCol w:w="1360"/>
        <w:gridCol w:w="1360"/>
        <w:gridCol w:w="1360"/>
      </w:tblGrid>
      <w:tr w:rsidR="00EE3319" w:rsidRPr="001737F2" w:rsidTr="00385814">
        <w:trPr>
          <w:trHeight w:val="300"/>
        </w:trPr>
        <w:tc>
          <w:tcPr>
            <w:tcW w:w="6860" w:type="dxa"/>
            <w:gridSpan w:val="4"/>
            <w:tcBorders>
              <w:top w:val="single" w:sz="8" w:space="0" w:color="86BC25"/>
              <w:left w:val="single" w:sz="8" w:space="0" w:color="86BC25"/>
              <w:bottom w:val="single" w:sz="8" w:space="0" w:color="86BC25"/>
              <w:right w:val="nil"/>
            </w:tcBorders>
            <w:shd w:val="clear" w:color="000000" w:fill="86BC25"/>
            <w:vAlign w:val="center"/>
            <w:hideMark/>
          </w:tcPr>
          <w:p w:rsidR="00EE3319" w:rsidRPr="001737F2" w:rsidRDefault="00EE3319"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Proportion of schools within X% of moving average</w:t>
            </w:r>
          </w:p>
        </w:tc>
      </w:tr>
      <w:tr w:rsidR="00EE3319" w:rsidRPr="001737F2" w:rsidTr="00385814">
        <w:trPr>
          <w:trHeight w:val="300"/>
        </w:trPr>
        <w:tc>
          <w:tcPr>
            <w:tcW w:w="2780" w:type="dxa"/>
            <w:tcBorders>
              <w:top w:val="nil"/>
              <w:left w:val="single" w:sz="8" w:space="0" w:color="86BC25"/>
              <w:bottom w:val="nil"/>
              <w:right w:val="nil"/>
            </w:tcBorders>
            <w:shd w:val="clear" w:color="000000" w:fill="86BC25"/>
            <w:vAlign w:val="center"/>
            <w:hideMark/>
          </w:tcPr>
          <w:p w:rsidR="00EE3319" w:rsidRPr="001737F2" w:rsidRDefault="00EE3319" w:rsidP="00385814">
            <w:pPr>
              <w:spacing w:after="0" w:line="240" w:lineRule="auto"/>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 </w:t>
            </w:r>
          </w:p>
        </w:tc>
        <w:tc>
          <w:tcPr>
            <w:tcW w:w="1360" w:type="dxa"/>
            <w:tcBorders>
              <w:top w:val="nil"/>
              <w:left w:val="nil"/>
              <w:bottom w:val="nil"/>
              <w:right w:val="nil"/>
            </w:tcBorders>
            <w:shd w:val="clear" w:color="000000" w:fill="86BC25"/>
            <w:vAlign w:val="center"/>
            <w:hideMark/>
          </w:tcPr>
          <w:p w:rsidR="00EE3319" w:rsidRPr="001737F2" w:rsidRDefault="00EE3319"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10%</w:t>
            </w:r>
          </w:p>
        </w:tc>
        <w:tc>
          <w:tcPr>
            <w:tcW w:w="1360" w:type="dxa"/>
            <w:tcBorders>
              <w:top w:val="nil"/>
              <w:left w:val="nil"/>
              <w:bottom w:val="nil"/>
              <w:right w:val="nil"/>
            </w:tcBorders>
            <w:shd w:val="clear" w:color="000000" w:fill="86BC25"/>
            <w:vAlign w:val="center"/>
            <w:hideMark/>
          </w:tcPr>
          <w:p w:rsidR="00EE3319" w:rsidRPr="001737F2" w:rsidRDefault="00EE3319"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15%</w:t>
            </w:r>
          </w:p>
        </w:tc>
        <w:tc>
          <w:tcPr>
            <w:tcW w:w="1360" w:type="dxa"/>
            <w:tcBorders>
              <w:top w:val="nil"/>
              <w:left w:val="nil"/>
              <w:bottom w:val="nil"/>
              <w:right w:val="nil"/>
            </w:tcBorders>
            <w:shd w:val="clear" w:color="000000" w:fill="86BC25"/>
            <w:vAlign w:val="center"/>
            <w:hideMark/>
          </w:tcPr>
          <w:p w:rsidR="00EE3319" w:rsidRPr="001737F2" w:rsidRDefault="00EE3319"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20%</w:t>
            </w:r>
          </w:p>
        </w:tc>
      </w:tr>
      <w:tr w:rsidR="00EE3319" w:rsidRPr="001737F2" w:rsidTr="00385814">
        <w:trPr>
          <w:trHeight w:val="300"/>
        </w:trPr>
        <w:tc>
          <w:tcPr>
            <w:tcW w:w="2780" w:type="dxa"/>
            <w:tcBorders>
              <w:top w:val="single" w:sz="8" w:space="0" w:color="86BC25"/>
              <w:left w:val="single" w:sz="8" w:space="0" w:color="86BC25"/>
              <w:bottom w:val="single" w:sz="8" w:space="0" w:color="86BC25"/>
              <w:right w:val="nil"/>
            </w:tcBorders>
            <w:shd w:val="clear" w:color="auto" w:fill="auto"/>
            <w:vAlign w:val="center"/>
            <w:hideMark/>
          </w:tcPr>
          <w:p w:rsidR="00EE3319" w:rsidRPr="001737F2" w:rsidRDefault="00EE3319" w:rsidP="00385814">
            <w:pPr>
              <w:spacing w:after="0" w:line="240" w:lineRule="auto"/>
              <w:rPr>
                <w:rFonts w:ascii="Verdana" w:eastAsia="Times New Roman" w:hAnsi="Verdana" w:cs="Arial"/>
                <w:b/>
                <w:bCs/>
                <w:color w:val="000000"/>
                <w:szCs w:val="18"/>
                <w:lang w:val="en-NZ" w:eastAsia="en-NZ"/>
              </w:rPr>
            </w:pPr>
            <w:r w:rsidRPr="001737F2">
              <w:rPr>
                <w:rFonts w:ascii="Verdana" w:eastAsia="Times New Roman" w:hAnsi="Verdana" w:cs="Arial"/>
                <w:b/>
                <w:bCs/>
                <w:color w:val="000000"/>
                <w:szCs w:val="18"/>
                <w:lang w:val="en-NZ" w:eastAsia="en-NZ"/>
              </w:rPr>
              <w:t>Primary &amp; Intermediate</w:t>
            </w:r>
          </w:p>
        </w:tc>
        <w:tc>
          <w:tcPr>
            <w:tcW w:w="1360" w:type="dxa"/>
            <w:tcBorders>
              <w:top w:val="single" w:sz="8" w:space="0" w:color="86BC25"/>
              <w:left w:val="nil"/>
              <w:bottom w:val="single" w:sz="8" w:space="0" w:color="86BC25"/>
              <w:right w:val="nil"/>
            </w:tcBorders>
            <w:shd w:val="clear" w:color="auto" w:fill="auto"/>
            <w:vAlign w:val="center"/>
            <w:hideMark/>
          </w:tcPr>
          <w:p w:rsidR="00EE3319" w:rsidRPr="001737F2" w:rsidRDefault="00EE3319" w:rsidP="00385814">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46%</w:t>
            </w:r>
          </w:p>
        </w:tc>
        <w:tc>
          <w:tcPr>
            <w:tcW w:w="1360" w:type="dxa"/>
            <w:tcBorders>
              <w:top w:val="single" w:sz="8" w:space="0" w:color="86BC25"/>
              <w:left w:val="nil"/>
              <w:bottom w:val="single" w:sz="8" w:space="0" w:color="86BC25"/>
              <w:right w:val="nil"/>
            </w:tcBorders>
            <w:shd w:val="clear" w:color="auto" w:fill="auto"/>
            <w:vAlign w:val="center"/>
            <w:hideMark/>
          </w:tcPr>
          <w:p w:rsidR="00EE3319" w:rsidRPr="001737F2" w:rsidRDefault="00EE3319" w:rsidP="00385814">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73%</w:t>
            </w:r>
          </w:p>
        </w:tc>
        <w:tc>
          <w:tcPr>
            <w:tcW w:w="1360" w:type="dxa"/>
            <w:tcBorders>
              <w:top w:val="single" w:sz="8" w:space="0" w:color="86BC25"/>
              <w:left w:val="nil"/>
              <w:bottom w:val="single" w:sz="8" w:space="0" w:color="86BC25"/>
              <w:right w:val="single" w:sz="8" w:space="0" w:color="86BC25"/>
            </w:tcBorders>
            <w:shd w:val="clear" w:color="auto" w:fill="auto"/>
            <w:vAlign w:val="center"/>
            <w:hideMark/>
          </w:tcPr>
          <w:p w:rsidR="00EE3319" w:rsidRPr="001737F2" w:rsidRDefault="00EE3319" w:rsidP="00385814">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92%</w:t>
            </w:r>
          </w:p>
        </w:tc>
      </w:tr>
    </w:tbl>
    <w:p w:rsidR="00EE3319" w:rsidRDefault="00EE3319" w:rsidP="00614CD4">
      <w:pPr>
        <w:spacing w:after="0"/>
        <w:rPr>
          <w:lang w:val="en-NZ"/>
        </w:rPr>
      </w:pPr>
    </w:p>
    <w:p w:rsidR="00C71B7A" w:rsidRDefault="00C71B7A" w:rsidP="00287604">
      <w:pPr>
        <w:rPr>
          <w:lang w:val="en-NZ"/>
        </w:rPr>
      </w:pPr>
      <w:r>
        <w:rPr>
          <w:lang w:val="en-NZ"/>
        </w:rPr>
        <w:t>The variation is relatively high, particularly across the most common school sizes</w:t>
      </w:r>
      <w:r w:rsidR="00EE3319">
        <w:rPr>
          <w:lang w:val="en-NZ"/>
        </w:rPr>
        <w:t xml:space="preserve">, with less than half of schools within </w:t>
      </w:r>
      <w:r>
        <w:rPr>
          <w:lang w:val="en-NZ"/>
        </w:rPr>
        <w:t>10%.</w:t>
      </w:r>
    </w:p>
    <w:p w:rsidR="00287604" w:rsidRPr="00DB433A" w:rsidRDefault="00287604" w:rsidP="00287604">
      <w:pPr>
        <w:pStyle w:val="Heading1BlueNumbered"/>
        <w:numPr>
          <w:ilvl w:val="0"/>
          <w:numId w:val="0"/>
        </w:numPr>
        <w:ind w:left="851" w:hanging="851"/>
      </w:pPr>
      <w:r w:rsidRPr="00DB433A">
        <w:lastRenderedPageBreak/>
        <w:t>Secondary schools</w:t>
      </w:r>
    </w:p>
    <w:p w:rsidR="00287604" w:rsidRPr="00DB433A" w:rsidRDefault="00287604" w:rsidP="00287604">
      <w:pPr>
        <w:pStyle w:val="Heading2"/>
        <w:rPr>
          <w:lang w:val="en-NZ"/>
        </w:rPr>
      </w:pPr>
      <w:r w:rsidRPr="00DB433A">
        <w:rPr>
          <w:lang w:val="en-NZ"/>
        </w:rPr>
        <w:t>School size</w:t>
      </w:r>
    </w:p>
    <w:p w:rsidR="00287604" w:rsidRPr="00DB433A" w:rsidRDefault="00287604" w:rsidP="00287604">
      <w:pPr>
        <w:rPr>
          <w:lang w:val="en-NZ"/>
        </w:rPr>
      </w:pPr>
      <w:r w:rsidRPr="00DB433A">
        <w:rPr>
          <w:lang w:val="en-NZ"/>
        </w:rPr>
        <w:t>The chart below shows the average proportion of expenditure across expenditure categories by groupings of school size:</w:t>
      </w:r>
    </w:p>
    <w:p w:rsidR="00287604" w:rsidRDefault="00061CC3" w:rsidP="00A56CB7">
      <w:pPr>
        <w:spacing w:after="0"/>
        <w:rPr>
          <w:lang w:val="en-NZ"/>
        </w:rPr>
      </w:pPr>
      <w:r>
        <w:rPr>
          <w:noProof/>
          <w:lang w:val="en-NZ" w:eastAsia="en-NZ"/>
        </w:rPr>
        <w:drawing>
          <wp:inline distT="0" distB="0" distL="0" distR="0">
            <wp:extent cx="4344813" cy="2510209"/>
            <wp:effectExtent l="0" t="0" r="0" b="444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6CB7" w:rsidRPr="004B33E5" w:rsidRDefault="00A56CB7" w:rsidP="00A56CB7">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sidR="008836DC">
        <w:rPr>
          <w:i/>
          <w:lang w:val="en-NZ"/>
        </w:rPr>
        <w:t>261</w:t>
      </w:r>
      <w:r w:rsidRPr="004B33E5">
        <w:rPr>
          <w:i/>
          <w:lang w:val="en-NZ"/>
        </w:rPr>
        <w:t xml:space="preserve"> schools</w:t>
      </w:r>
    </w:p>
    <w:p w:rsidR="00287604" w:rsidRPr="00DB433A" w:rsidRDefault="00287604" w:rsidP="00287604">
      <w:pPr>
        <w:rPr>
          <w:lang w:val="en-NZ"/>
        </w:rPr>
      </w:pPr>
      <w:r w:rsidRPr="00DB433A">
        <w:rPr>
          <w:lang w:val="en-NZ"/>
        </w:rPr>
        <w:t>The pattern for secondary schools is less consistent than for primary and intermediate schools, which may partly be due to a significantly smaller number of secondary schools.</w:t>
      </w:r>
    </w:p>
    <w:p w:rsidR="00287604" w:rsidRPr="00DB433A" w:rsidRDefault="00287604" w:rsidP="00287604">
      <w:pPr>
        <w:rPr>
          <w:lang w:val="en-NZ"/>
        </w:rPr>
      </w:pPr>
      <w:r w:rsidRPr="00DB433A">
        <w:rPr>
          <w:lang w:val="en-NZ"/>
        </w:rPr>
        <w:t xml:space="preserve">Smaller secondary schools spend proportionally more on </w:t>
      </w:r>
      <w:r w:rsidR="008836DC">
        <w:rPr>
          <w:lang w:val="en-NZ"/>
        </w:rPr>
        <w:t xml:space="preserve">Administration and less on Other costs, </w:t>
      </w:r>
      <w:r w:rsidRPr="00DB433A">
        <w:rPr>
          <w:lang w:val="en-NZ"/>
        </w:rPr>
        <w:t>but on average the difference</w:t>
      </w:r>
      <w:r w:rsidR="008836DC">
        <w:rPr>
          <w:lang w:val="en-NZ"/>
        </w:rPr>
        <w:t>s</w:t>
      </w:r>
      <w:r w:rsidRPr="00DB433A">
        <w:rPr>
          <w:lang w:val="en-NZ"/>
        </w:rPr>
        <w:t xml:space="preserve"> </w:t>
      </w:r>
      <w:r w:rsidR="008836DC">
        <w:rPr>
          <w:lang w:val="en-NZ"/>
        </w:rPr>
        <w:t>are</w:t>
      </w:r>
      <w:r w:rsidRPr="00DB433A">
        <w:rPr>
          <w:lang w:val="en-NZ"/>
        </w:rPr>
        <w:t xml:space="preserve"> less pronounced than for primary and intermediate schools.</w:t>
      </w:r>
    </w:p>
    <w:p w:rsidR="00287604" w:rsidRPr="00DB433A" w:rsidRDefault="00287604" w:rsidP="00287604">
      <w:pPr>
        <w:rPr>
          <w:lang w:val="en-NZ"/>
        </w:rPr>
      </w:pPr>
      <w:r w:rsidRPr="00DB433A">
        <w:rPr>
          <w:lang w:val="en-NZ"/>
        </w:rPr>
        <w:t>Looking at average expenditure per student (refer chart below) shows smaller schools tend to spend more across all categories than larger schools.</w:t>
      </w:r>
    </w:p>
    <w:p w:rsidR="00287604" w:rsidRDefault="00CA5478" w:rsidP="003234C9">
      <w:pPr>
        <w:spacing w:after="0"/>
        <w:rPr>
          <w:lang w:val="en-NZ"/>
        </w:rPr>
      </w:pPr>
      <w:r>
        <w:rPr>
          <w:noProof/>
          <w:lang w:val="en-NZ" w:eastAsia="en-NZ"/>
        </w:rPr>
        <w:drawing>
          <wp:inline distT="0" distB="0" distL="0" distR="0">
            <wp:extent cx="4310419" cy="263467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34C9" w:rsidRPr="004B33E5" w:rsidRDefault="003234C9" w:rsidP="003234C9">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sidR="00CA5478">
        <w:rPr>
          <w:i/>
          <w:lang w:val="en-NZ"/>
        </w:rPr>
        <w:t>261</w:t>
      </w:r>
      <w:r w:rsidRPr="004B33E5">
        <w:rPr>
          <w:i/>
          <w:lang w:val="en-NZ"/>
        </w:rPr>
        <w:t xml:space="preserve"> schools</w:t>
      </w:r>
    </w:p>
    <w:p w:rsidR="00287604" w:rsidRPr="00DB433A" w:rsidRDefault="00287604" w:rsidP="00287604">
      <w:pPr>
        <w:rPr>
          <w:lang w:val="en-NZ"/>
        </w:rPr>
      </w:pPr>
      <w:r w:rsidRPr="00DB433A">
        <w:rPr>
          <w:lang w:val="en-NZ"/>
        </w:rPr>
        <w:t>Even with school sizes up to 750 students, the average expenditure on Learning Resources is 12</w:t>
      </w:r>
      <w:r w:rsidR="005A2F56">
        <w:rPr>
          <w:lang w:val="en-NZ"/>
        </w:rPr>
        <w:t>%</w:t>
      </w:r>
      <w:r w:rsidRPr="00DB433A">
        <w:rPr>
          <w:lang w:val="en-NZ"/>
        </w:rPr>
        <w:t xml:space="preserve"> higher than the average for larger schools. </w:t>
      </w:r>
      <w:r w:rsidR="005A2F56">
        <w:rPr>
          <w:lang w:val="en-NZ"/>
        </w:rPr>
        <w:lastRenderedPageBreak/>
        <w:t xml:space="preserve">Because expenditure is largely determined by how </w:t>
      </w:r>
      <w:r w:rsidR="006519DE">
        <w:rPr>
          <w:lang w:val="en-NZ"/>
        </w:rPr>
        <w:t>government</w:t>
      </w:r>
      <w:r w:rsidR="005A2F56">
        <w:rPr>
          <w:lang w:val="en-NZ"/>
        </w:rPr>
        <w:t xml:space="preserve"> funds, t</w:t>
      </w:r>
      <w:r w:rsidRPr="00DB433A">
        <w:rPr>
          <w:lang w:val="en-NZ"/>
        </w:rPr>
        <w:t xml:space="preserve">his </w:t>
      </w:r>
      <w:r w:rsidR="005A2F56">
        <w:rPr>
          <w:lang w:val="en-NZ"/>
        </w:rPr>
        <w:t xml:space="preserve">may or may not be indicative of greater challenges achieving economies of scale </w:t>
      </w:r>
      <w:r w:rsidRPr="00DB433A">
        <w:rPr>
          <w:lang w:val="en-NZ"/>
        </w:rPr>
        <w:t>for secondary schools.</w:t>
      </w:r>
    </w:p>
    <w:p w:rsidR="00287604" w:rsidRPr="00DB433A" w:rsidRDefault="00287604" w:rsidP="00287604">
      <w:pPr>
        <w:pStyle w:val="Heading2"/>
        <w:rPr>
          <w:lang w:val="en-NZ"/>
        </w:rPr>
      </w:pPr>
      <w:r w:rsidRPr="00DB433A">
        <w:rPr>
          <w:lang w:val="en-NZ"/>
        </w:rPr>
        <w:t>School decile</w:t>
      </w:r>
    </w:p>
    <w:p w:rsidR="00287604" w:rsidRPr="00DB433A" w:rsidRDefault="00287604" w:rsidP="00287604">
      <w:pPr>
        <w:rPr>
          <w:lang w:val="en-NZ"/>
        </w:rPr>
      </w:pPr>
      <w:r w:rsidRPr="00DB433A">
        <w:rPr>
          <w:lang w:val="en-NZ"/>
        </w:rPr>
        <w:t>The chart below shows the average proportion of expenditure across expenditure categories by school deciles:</w:t>
      </w:r>
    </w:p>
    <w:p w:rsidR="00287604" w:rsidRDefault="00ED062C" w:rsidP="003234C9">
      <w:pPr>
        <w:spacing w:after="0"/>
        <w:rPr>
          <w:lang w:val="en-NZ"/>
        </w:rPr>
      </w:pPr>
      <w:r>
        <w:rPr>
          <w:noProof/>
          <w:lang w:val="en-NZ" w:eastAsia="en-NZ"/>
        </w:rPr>
        <w:drawing>
          <wp:inline distT="0" distB="0" distL="0" distR="0">
            <wp:extent cx="4408314" cy="2416968"/>
            <wp:effectExtent l="0" t="0" r="0" b="254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234C9" w:rsidRPr="004B33E5" w:rsidRDefault="003234C9" w:rsidP="003234C9">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26</w:t>
      </w:r>
      <w:r w:rsidR="00C94471">
        <w:rPr>
          <w:i/>
          <w:lang w:val="en-NZ"/>
        </w:rPr>
        <w:t>1</w:t>
      </w:r>
      <w:r w:rsidRPr="004B33E5">
        <w:rPr>
          <w:i/>
          <w:lang w:val="en-NZ"/>
        </w:rPr>
        <w:t xml:space="preserve"> schools</w:t>
      </w:r>
    </w:p>
    <w:p w:rsidR="00287604" w:rsidRPr="00DB433A" w:rsidRDefault="00287604" w:rsidP="00287604">
      <w:pPr>
        <w:rPr>
          <w:lang w:val="en-NZ"/>
        </w:rPr>
      </w:pPr>
      <w:r w:rsidRPr="00DB433A">
        <w:rPr>
          <w:lang w:val="en-NZ"/>
        </w:rPr>
        <w:t>Unlike for primary and intermediate schools, this indicates that lower decile schools spend proportionally more on Learning Resources, though the difference is not great. In part, this is due to a greater portion of higher decile schools having more Other Expenses – e.g. relating to International Students. However, analysis of average expenditure per student (refer chart below) shows lower decile schools do spend more on Learning Resources per student, though decile 2 has a higher average than decile 1.</w:t>
      </w:r>
      <w:r w:rsidR="002732C7">
        <w:rPr>
          <w:lang w:val="en-NZ"/>
        </w:rPr>
        <w:t xml:space="preserve"> This is likely to be because decile 2 schools are smaller on average than decile 1 schools (467 students cf 638 students).</w:t>
      </w:r>
    </w:p>
    <w:p w:rsidR="00287604" w:rsidRDefault="00CA5478" w:rsidP="002732C7">
      <w:pPr>
        <w:spacing w:after="0"/>
        <w:rPr>
          <w:lang w:val="en-NZ"/>
        </w:rPr>
      </w:pPr>
      <w:r>
        <w:rPr>
          <w:noProof/>
          <w:lang w:val="en-NZ" w:eastAsia="en-NZ"/>
        </w:rPr>
        <w:drawing>
          <wp:inline distT="0" distB="0" distL="0" distR="0">
            <wp:extent cx="4310419" cy="2693942"/>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732C7" w:rsidRPr="004B33E5" w:rsidRDefault="002732C7" w:rsidP="002732C7">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sidR="00CA5478">
        <w:rPr>
          <w:i/>
          <w:lang w:val="en-NZ"/>
        </w:rPr>
        <w:t>261</w:t>
      </w:r>
      <w:r w:rsidRPr="004B33E5">
        <w:rPr>
          <w:i/>
          <w:lang w:val="en-NZ"/>
        </w:rPr>
        <w:t xml:space="preserve"> schools</w:t>
      </w:r>
    </w:p>
    <w:p w:rsidR="00287604" w:rsidRDefault="00287604" w:rsidP="00287604">
      <w:pPr>
        <w:rPr>
          <w:lang w:val="en-NZ"/>
        </w:rPr>
      </w:pPr>
      <w:r w:rsidRPr="00DB433A">
        <w:rPr>
          <w:lang w:val="en-NZ"/>
        </w:rPr>
        <w:lastRenderedPageBreak/>
        <w:t>Again, staff costs drive the majority of the difference in Learning Resources expenditure.</w:t>
      </w:r>
    </w:p>
    <w:p w:rsidR="00D40CD4" w:rsidRPr="00DB433A" w:rsidRDefault="00D40CD4" w:rsidP="00D40CD4">
      <w:pPr>
        <w:pStyle w:val="Heading2"/>
        <w:rPr>
          <w:lang w:val="en-NZ"/>
        </w:rPr>
      </w:pPr>
      <w:r>
        <w:rPr>
          <w:lang w:val="en-NZ"/>
        </w:rPr>
        <w:t>Variability</w:t>
      </w:r>
    </w:p>
    <w:p w:rsidR="00D40CD4" w:rsidRDefault="00D40CD4" w:rsidP="00D40CD4">
      <w:pPr>
        <w:rPr>
          <w:lang w:val="en-NZ"/>
        </w:rPr>
      </w:pPr>
      <w:r w:rsidRPr="00DB433A">
        <w:rPr>
          <w:lang w:val="en-NZ"/>
        </w:rPr>
        <w:t xml:space="preserve">The chart below </w:t>
      </w:r>
      <w:r>
        <w:rPr>
          <w:lang w:val="en-NZ"/>
        </w:rPr>
        <w:t>illustrates</w:t>
      </w:r>
      <w:r w:rsidRPr="00DB433A">
        <w:rPr>
          <w:lang w:val="en-NZ"/>
        </w:rPr>
        <w:t xml:space="preserve"> the </w:t>
      </w:r>
      <w:r>
        <w:rPr>
          <w:lang w:val="en-NZ"/>
        </w:rPr>
        <w:t>variability of expenditure by student as school size increases</w:t>
      </w:r>
      <w:r w:rsidR="00435702">
        <w:rPr>
          <w:lang w:val="en-NZ"/>
        </w:rPr>
        <w:t xml:space="preserve"> (excludes RTLB lead schools)</w:t>
      </w:r>
      <w:r w:rsidRPr="00DB433A">
        <w:rPr>
          <w:lang w:val="en-NZ"/>
        </w:rPr>
        <w:t>:</w:t>
      </w:r>
    </w:p>
    <w:p w:rsidR="00D40CD4" w:rsidRDefault="00CA5478" w:rsidP="00D40CD4">
      <w:pPr>
        <w:spacing w:after="0"/>
        <w:rPr>
          <w:lang w:val="en-NZ"/>
        </w:rPr>
      </w:pPr>
      <w:r>
        <w:rPr>
          <w:noProof/>
          <w:lang w:val="en-NZ" w:eastAsia="en-NZ"/>
        </w:rPr>
        <w:drawing>
          <wp:inline distT="0" distB="0" distL="0" distR="0">
            <wp:extent cx="4410075" cy="2356911"/>
            <wp:effectExtent l="0" t="0" r="0" b="571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40CD4" w:rsidRPr="004B33E5" w:rsidRDefault="00D40CD4" w:rsidP="00D40CD4">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sidR="00CA5478">
        <w:rPr>
          <w:i/>
          <w:lang w:val="en-NZ"/>
        </w:rPr>
        <w:t>162</w:t>
      </w:r>
      <w:r w:rsidRPr="004B33E5">
        <w:rPr>
          <w:i/>
          <w:lang w:val="en-NZ"/>
        </w:rPr>
        <w:t xml:space="preserve"> schools</w:t>
      </w:r>
    </w:p>
    <w:p w:rsidR="00614CD4" w:rsidRDefault="00614CD4" w:rsidP="00614CD4">
      <w:pPr>
        <w:rPr>
          <w:lang w:val="en-NZ"/>
        </w:rPr>
      </w:pPr>
      <w:r>
        <w:rPr>
          <w:lang w:val="en-NZ"/>
        </w:rPr>
        <w:t>To assess the level of variation, we calculated the moving average (for schools of 500+ students, ordered by increasing size) and compared average expenditure per student to that moving average for each school:</w:t>
      </w:r>
    </w:p>
    <w:tbl>
      <w:tblPr>
        <w:tblW w:w="6860" w:type="dxa"/>
        <w:tblInd w:w="93" w:type="dxa"/>
        <w:tblLook w:val="04A0"/>
      </w:tblPr>
      <w:tblGrid>
        <w:gridCol w:w="2780"/>
        <w:gridCol w:w="1360"/>
        <w:gridCol w:w="1360"/>
        <w:gridCol w:w="1360"/>
      </w:tblGrid>
      <w:tr w:rsidR="00614CD4" w:rsidRPr="001737F2" w:rsidTr="00385814">
        <w:trPr>
          <w:trHeight w:val="300"/>
        </w:trPr>
        <w:tc>
          <w:tcPr>
            <w:tcW w:w="6860" w:type="dxa"/>
            <w:gridSpan w:val="4"/>
            <w:tcBorders>
              <w:top w:val="single" w:sz="8" w:space="0" w:color="86BC25"/>
              <w:left w:val="single" w:sz="8" w:space="0" w:color="86BC25"/>
              <w:bottom w:val="single" w:sz="8" w:space="0" w:color="86BC25"/>
              <w:right w:val="nil"/>
            </w:tcBorders>
            <w:shd w:val="clear" w:color="000000" w:fill="86BC25"/>
            <w:vAlign w:val="center"/>
            <w:hideMark/>
          </w:tcPr>
          <w:p w:rsidR="00614CD4" w:rsidRPr="001737F2" w:rsidRDefault="00614CD4"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Proportion of schools within X% of moving average</w:t>
            </w:r>
          </w:p>
        </w:tc>
      </w:tr>
      <w:tr w:rsidR="00614CD4" w:rsidRPr="001737F2" w:rsidTr="00385814">
        <w:trPr>
          <w:trHeight w:val="300"/>
        </w:trPr>
        <w:tc>
          <w:tcPr>
            <w:tcW w:w="2780" w:type="dxa"/>
            <w:tcBorders>
              <w:top w:val="nil"/>
              <w:left w:val="single" w:sz="8" w:space="0" w:color="86BC25"/>
              <w:bottom w:val="nil"/>
              <w:right w:val="nil"/>
            </w:tcBorders>
            <w:shd w:val="clear" w:color="000000" w:fill="86BC25"/>
            <w:vAlign w:val="center"/>
            <w:hideMark/>
          </w:tcPr>
          <w:p w:rsidR="00614CD4" w:rsidRPr="001737F2" w:rsidRDefault="00614CD4" w:rsidP="00385814">
            <w:pPr>
              <w:spacing w:after="0" w:line="240" w:lineRule="auto"/>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 </w:t>
            </w:r>
          </w:p>
        </w:tc>
        <w:tc>
          <w:tcPr>
            <w:tcW w:w="1360" w:type="dxa"/>
            <w:tcBorders>
              <w:top w:val="nil"/>
              <w:left w:val="nil"/>
              <w:bottom w:val="nil"/>
              <w:right w:val="nil"/>
            </w:tcBorders>
            <w:shd w:val="clear" w:color="000000" w:fill="86BC25"/>
            <w:vAlign w:val="center"/>
            <w:hideMark/>
          </w:tcPr>
          <w:p w:rsidR="00614CD4" w:rsidRPr="001737F2" w:rsidRDefault="00614CD4"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10%</w:t>
            </w:r>
          </w:p>
        </w:tc>
        <w:tc>
          <w:tcPr>
            <w:tcW w:w="1360" w:type="dxa"/>
            <w:tcBorders>
              <w:top w:val="nil"/>
              <w:left w:val="nil"/>
              <w:bottom w:val="nil"/>
              <w:right w:val="nil"/>
            </w:tcBorders>
            <w:shd w:val="clear" w:color="000000" w:fill="86BC25"/>
            <w:vAlign w:val="center"/>
            <w:hideMark/>
          </w:tcPr>
          <w:p w:rsidR="00614CD4" w:rsidRPr="001737F2" w:rsidRDefault="00614CD4"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15%</w:t>
            </w:r>
          </w:p>
        </w:tc>
        <w:tc>
          <w:tcPr>
            <w:tcW w:w="1360" w:type="dxa"/>
            <w:tcBorders>
              <w:top w:val="nil"/>
              <w:left w:val="nil"/>
              <w:bottom w:val="nil"/>
              <w:right w:val="nil"/>
            </w:tcBorders>
            <w:shd w:val="clear" w:color="000000" w:fill="86BC25"/>
            <w:vAlign w:val="center"/>
            <w:hideMark/>
          </w:tcPr>
          <w:p w:rsidR="00614CD4" w:rsidRPr="001737F2" w:rsidRDefault="00614CD4" w:rsidP="00385814">
            <w:pPr>
              <w:spacing w:after="0" w:line="240" w:lineRule="auto"/>
              <w:jc w:val="center"/>
              <w:rPr>
                <w:rFonts w:ascii="Verdana" w:eastAsia="Times New Roman" w:hAnsi="Verdana" w:cs="Arial"/>
                <w:b/>
                <w:bCs/>
                <w:color w:val="FFFFFF"/>
                <w:szCs w:val="18"/>
                <w:lang w:val="en-NZ" w:eastAsia="en-NZ"/>
              </w:rPr>
            </w:pPr>
            <w:r w:rsidRPr="001737F2">
              <w:rPr>
                <w:rFonts w:ascii="Verdana" w:eastAsia="Times New Roman" w:hAnsi="Verdana" w:cs="Arial"/>
                <w:b/>
                <w:bCs/>
                <w:color w:val="FFFFFF"/>
                <w:szCs w:val="18"/>
                <w:lang w:val="en-NZ" w:eastAsia="en-NZ"/>
              </w:rPr>
              <w:t>within 20%</w:t>
            </w:r>
          </w:p>
        </w:tc>
      </w:tr>
      <w:tr w:rsidR="00614CD4" w:rsidRPr="001737F2" w:rsidTr="00385814">
        <w:trPr>
          <w:trHeight w:val="300"/>
        </w:trPr>
        <w:tc>
          <w:tcPr>
            <w:tcW w:w="2780" w:type="dxa"/>
            <w:tcBorders>
              <w:top w:val="nil"/>
              <w:left w:val="single" w:sz="8" w:space="0" w:color="86BC25"/>
              <w:bottom w:val="single" w:sz="8" w:space="0" w:color="86BC25"/>
              <w:right w:val="nil"/>
            </w:tcBorders>
            <w:shd w:val="clear" w:color="auto" w:fill="auto"/>
            <w:vAlign w:val="center"/>
            <w:hideMark/>
          </w:tcPr>
          <w:p w:rsidR="00614CD4" w:rsidRPr="001737F2" w:rsidRDefault="00614CD4" w:rsidP="00385814">
            <w:pPr>
              <w:spacing w:after="0" w:line="240" w:lineRule="auto"/>
              <w:rPr>
                <w:rFonts w:ascii="Verdana" w:eastAsia="Times New Roman" w:hAnsi="Verdana" w:cs="Arial"/>
                <w:b/>
                <w:bCs/>
                <w:color w:val="000000"/>
                <w:szCs w:val="18"/>
                <w:lang w:val="en-NZ" w:eastAsia="en-NZ"/>
              </w:rPr>
            </w:pPr>
            <w:r w:rsidRPr="001737F2">
              <w:rPr>
                <w:rFonts w:ascii="Verdana" w:eastAsia="Times New Roman" w:hAnsi="Verdana" w:cs="Arial"/>
                <w:b/>
                <w:bCs/>
                <w:color w:val="000000"/>
                <w:szCs w:val="18"/>
                <w:lang w:val="en-NZ" w:eastAsia="en-NZ"/>
              </w:rPr>
              <w:t>Secondary</w:t>
            </w:r>
          </w:p>
        </w:tc>
        <w:tc>
          <w:tcPr>
            <w:tcW w:w="1360" w:type="dxa"/>
            <w:tcBorders>
              <w:top w:val="nil"/>
              <w:left w:val="nil"/>
              <w:bottom w:val="single" w:sz="8" w:space="0" w:color="86BC25"/>
              <w:right w:val="nil"/>
            </w:tcBorders>
            <w:shd w:val="clear" w:color="auto" w:fill="auto"/>
            <w:vAlign w:val="center"/>
            <w:hideMark/>
          </w:tcPr>
          <w:p w:rsidR="00614CD4" w:rsidRPr="001737F2" w:rsidRDefault="00614CD4" w:rsidP="00385814">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59%</w:t>
            </w:r>
          </w:p>
        </w:tc>
        <w:tc>
          <w:tcPr>
            <w:tcW w:w="1360" w:type="dxa"/>
            <w:tcBorders>
              <w:top w:val="nil"/>
              <w:left w:val="nil"/>
              <w:bottom w:val="single" w:sz="8" w:space="0" w:color="86BC25"/>
              <w:right w:val="nil"/>
            </w:tcBorders>
            <w:shd w:val="clear" w:color="auto" w:fill="auto"/>
            <w:vAlign w:val="center"/>
            <w:hideMark/>
          </w:tcPr>
          <w:p w:rsidR="00614CD4" w:rsidRPr="001737F2" w:rsidRDefault="00614CD4" w:rsidP="00CA5478">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8</w:t>
            </w:r>
            <w:r w:rsidR="00CA5478">
              <w:rPr>
                <w:rFonts w:ascii="Verdana" w:eastAsia="Times New Roman" w:hAnsi="Verdana" w:cs="Arial"/>
                <w:color w:val="000000"/>
                <w:szCs w:val="18"/>
                <w:lang w:val="en-NZ" w:eastAsia="en-NZ"/>
              </w:rPr>
              <w:t>4</w:t>
            </w:r>
            <w:r w:rsidRPr="001737F2">
              <w:rPr>
                <w:rFonts w:ascii="Verdana" w:eastAsia="Times New Roman" w:hAnsi="Verdana" w:cs="Arial"/>
                <w:color w:val="000000"/>
                <w:szCs w:val="18"/>
                <w:lang w:val="en-NZ" w:eastAsia="en-NZ"/>
              </w:rPr>
              <w:t>%</w:t>
            </w:r>
          </w:p>
        </w:tc>
        <w:tc>
          <w:tcPr>
            <w:tcW w:w="1360" w:type="dxa"/>
            <w:tcBorders>
              <w:top w:val="nil"/>
              <w:left w:val="nil"/>
              <w:bottom w:val="single" w:sz="8" w:space="0" w:color="86BC25"/>
              <w:right w:val="single" w:sz="8" w:space="0" w:color="86BC25"/>
            </w:tcBorders>
            <w:shd w:val="clear" w:color="auto" w:fill="auto"/>
            <w:vAlign w:val="center"/>
            <w:hideMark/>
          </w:tcPr>
          <w:p w:rsidR="00614CD4" w:rsidRPr="001737F2" w:rsidRDefault="00614CD4" w:rsidP="00CA5478">
            <w:pPr>
              <w:spacing w:after="0" w:line="240" w:lineRule="auto"/>
              <w:jc w:val="center"/>
              <w:rPr>
                <w:rFonts w:ascii="Verdana" w:eastAsia="Times New Roman" w:hAnsi="Verdana" w:cs="Arial"/>
                <w:color w:val="000000"/>
                <w:szCs w:val="18"/>
                <w:lang w:val="en-NZ" w:eastAsia="en-NZ"/>
              </w:rPr>
            </w:pPr>
            <w:r w:rsidRPr="001737F2">
              <w:rPr>
                <w:rFonts w:ascii="Verdana" w:eastAsia="Times New Roman" w:hAnsi="Verdana" w:cs="Arial"/>
                <w:color w:val="000000"/>
                <w:szCs w:val="18"/>
                <w:lang w:val="en-NZ" w:eastAsia="en-NZ"/>
              </w:rPr>
              <w:t>9</w:t>
            </w:r>
            <w:r w:rsidR="00CA5478">
              <w:rPr>
                <w:rFonts w:ascii="Verdana" w:eastAsia="Times New Roman" w:hAnsi="Verdana" w:cs="Arial"/>
                <w:color w:val="000000"/>
                <w:szCs w:val="18"/>
                <w:lang w:val="en-NZ" w:eastAsia="en-NZ"/>
              </w:rPr>
              <w:t>9</w:t>
            </w:r>
            <w:r w:rsidRPr="001737F2">
              <w:rPr>
                <w:rFonts w:ascii="Verdana" w:eastAsia="Times New Roman" w:hAnsi="Verdana" w:cs="Arial"/>
                <w:color w:val="000000"/>
                <w:szCs w:val="18"/>
                <w:lang w:val="en-NZ" w:eastAsia="en-NZ"/>
              </w:rPr>
              <w:t>%</w:t>
            </w:r>
          </w:p>
        </w:tc>
      </w:tr>
    </w:tbl>
    <w:p w:rsidR="00614CD4" w:rsidRDefault="00614CD4" w:rsidP="00614CD4">
      <w:pPr>
        <w:spacing w:after="0"/>
        <w:rPr>
          <w:lang w:val="en-NZ"/>
        </w:rPr>
      </w:pPr>
    </w:p>
    <w:p w:rsidR="00D40CD4" w:rsidRDefault="00015F15" w:rsidP="00D40CD4">
      <w:pPr>
        <w:rPr>
          <w:lang w:val="en-NZ"/>
        </w:rPr>
      </w:pPr>
      <w:r>
        <w:rPr>
          <w:lang w:val="en-NZ"/>
        </w:rPr>
        <w:t>While there is some significant variation, this is to a lesser degree than primary and intermediate schools.</w:t>
      </w:r>
    </w:p>
    <w:p w:rsidR="001E3F45" w:rsidRDefault="001E3F45">
      <w:pPr>
        <w:spacing w:after="200" w:line="276" w:lineRule="auto"/>
        <w:rPr>
          <w:rFonts w:asciiTheme="majorHAnsi" w:eastAsia="Times" w:hAnsiTheme="majorHAnsi" w:cs="Times New Roman"/>
          <w:b/>
          <w:color w:val="62B5E5" w:themeColor="accent3"/>
          <w:szCs w:val="24"/>
          <w:lang w:val="en-NZ"/>
        </w:rPr>
      </w:pPr>
      <w:r>
        <w:br w:type="page"/>
      </w:r>
    </w:p>
    <w:p w:rsidR="00287604" w:rsidRPr="00DB433A" w:rsidRDefault="00287604" w:rsidP="00287604">
      <w:pPr>
        <w:pStyle w:val="Heading1BlueNumbered"/>
        <w:numPr>
          <w:ilvl w:val="0"/>
          <w:numId w:val="0"/>
        </w:numPr>
        <w:ind w:left="851" w:hanging="851"/>
      </w:pPr>
      <w:r w:rsidRPr="00DB433A">
        <w:lastRenderedPageBreak/>
        <w:t>Other schools</w:t>
      </w:r>
    </w:p>
    <w:p w:rsidR="00287604" w:rsidRPr="00DB433A" w:rsidRDefault="00287604" w:rsidP="00287604">
      <w:pPr>
        <w:pStyle w:val="Heading2"/>
        <w:rPr>
          <w:lang w:val="en-NZ"/>
        </w:rPr>
      </w:pPr>
      <w:r w:rsidRPr="00DB433A">
        <w:rPr>
          <w:lang w:val="en-NZ"/>
        </w:rPr>
        <w:t>School size</w:t>
      </w:r>
    </w:p>
    <w:p w:rsidR="00287604" w:rsidRDefault="00287604" w:rsidP="00287604">
      <w:pPr>
        <w:rPr>
          <w:lang w:val="en-NZ"/>
        </w:rPr>
      </w:pPr>
      <w:r w:rsidRPr="00DB433A">
        <w:rPr>
          <w:lang w:val="en-NZ"/>
        </w:rPr>
        <w:t>The chart below shows the average proportion of expenditure across expenditure categories by groupings of school size</w:t>
      </w:r>
      <w:r w:rsidR="00FD1B3F">
        <w:rPr>
          <w:lang w:val="en-NZ"/>
        </w:rPr>
        <w:t xml:space="preserve"> for composite schools (note none in the sample are between 280-300 students)</w:t>
      </w:r>
      <w:r w:rsidRPr="00DB433A">
        <w:rPr>
          <w:lang w:val="en-NZ"/>
        </w:rPr>
        <w:t>:</w:t>
      </w:r>
    </w:p>
    <w:p w:rsidR="00287604" w:rsidRDefault="001908BE" w:rsidP="00FD1B3F">
      <w:pPr>
        <w:spacing w:after="0"/>
        <w:rPr>
          <w:lang w:val="en-NZ"/>
        </w:rPr>
      </w:pPr>
      <w:r>
        <w:rPr>
          <w:noProof/>
          <w:lang w:val="en-NZ" w:eastAsia="en-NZ"/>
        </w:rPr>
        <w:drawing>
          <wp:inline distT="0" distB="0" distL="0" distR="0">
            <wp:extent cx="4344813" cy="2510209"/>
            <wp:effectExtent l="0" t="0" r="0" b="44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D1B3F" w:rsidRPr="004B33E5" w:rsidRDefault="00FD1B3F" w:rsidP="00FD1B3F">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96</w:t>
      </w:r>
      <w:r w:rsidRPr="004B33E5">
        <w:rPr>
          <w:i/>
          <w:lang w:val="en-NZ"/>
        </w:rPr>
        <w:t xml:space="preserve"> schools</w:t>
      </w:r>
    </w:p>
    <w:p w:rsidR="00FD1B3F" w:rsidRDefault="00287604" w:rsidP="00287604">
      <w:pPr>
        <w:rPr>
          <w:lang w:val="en-NZ"/>
        </w:rPr>
      </w:pPr>
      <w:r w:rsidRPr="00FD1B3F">
        <w:rPr>
          <w:lang w:val="en-NZ"/>
        </w:rPr>
        <w:t xml:space="preserve">Again, the pattern is less consistent than for primary schools, which reflects </w:t>
      </w:r>
      <w:r w:rsidR="00FD1B3F">
        <w:rPr>
          <w:lang w:val="en-NZ"/>
        </w:rPr>
        <w:t>a smaller number of schools and varying nature of these schools (e.g. area schools and Maori Medium schools). The pattern of smaller schools spending more on fixed costs is consistent with the other categories.</w:t>
      </w:r>
    </w:p>
    <w:p w:rsidR="00FD1B3F" w:rsidRDefault="0065511F" w:rsidP="00287604">
      <w:pPr>
        <w:rPr>
          <w:lang w:val="en-NZ"/>
        </w:rPr>
      </w:pPr>
      <w:r>
        <w:rPr>
          <w:lang w:val="en-NZ"/>
        </w:rPr>
        <w:t>We have not shown the pattern for special schools because of the small number of schools across size categories.</w:t>
      </w:r>
    </w:p>
    <w:p w:rsidR="0065511F" w:rsidRPr="00DB433A" w:rsidRDefault="0065511F" w:rsidP="0065511F">
      <w:pPr>
        <w:pStyle w:val="Heading2"/>
        <w:rPr>
          <w:lang w:val="en-NZ"/>
        </w:rPr>
      </w:pPr>
      <w:r w:rsidRPr="00DB433A">
        <w:rPr>
          <w:lang w:val="en-NZ"/>
        </w:rPr>
        <w:t xml:space="preserve">School </w:t>
      </w:r>
      <w:r>
        <w:rPr>
          <w:lang w:val="en-NZ"/>
        </w:rPr>
        <w:t>decile</w:t>
      </w:r>
    </w:p>
    <w:p w:rsidR="00FD1B3F" w:rsidRDefault="00FD1B3F" w:rsidP="00FD1B3F">
      <w:pPr>
        <w:rPr>
          <w:lang w:val="en-NZ"/>
        </w:rPr>
      </w:pPr>
      <w:r>
        <w:rPr>
          <w:lang w:val="en-NZ"/>
        </w:rPr>
        <w:t>L</w:t>
      </w:r>
      <w:r w:rsidRPr="00DB433A">
        <w:rPr>
          <w:lang w:val="en-NZ"/>
        </w:rPr>
        <w:t xml:space="preserve">ower decile </w:t>
      </w:r>
      <w:r w:rsidR="0065511F">
        <w:rPr>
          <w:lang w:val="en-NZ"/>
        </w:rPr>
        <w:t>c</w:t>
      </w:r>
      <w:r w:rsidR="0065511F" w:rsidRPr="0065511F">
        <w:rPr>
          <w:lang w:val="en-NZ"/>
        </w:rPr>
        <w:t xml:space="preserve">omposite </w:t>
      </w:r>
      <w:r w:rsidRPr="00DB433A">
        <w:rPr>
          <w:lang w:val="en-NZ"/>
        </w:rPr>
        <w:t xml:space="preserve">schools </w:t>
      </w:r>
      <w:r>
        <w:rPr>
          <w:lang w:val="en-NZ"/>
        </w:rPr>
        <w:t xml:space="preserve">tend to </w:t>
      </w:r>
      <w:r w:rsidRPr="00DB433A">
        <w:rPr>
          <w:lang w:val="en-NZ"/>
        </w:rPr>
        <w:t xml:space="preserve">spend more on Learning Resources, </w:t>
      </w:r>
      <w:r>
        <w:rPr>
          <w:lang w:val="en-NZ"/>
        </w:rPr>
        <w:t>and the uneven distribution reflects the relatively small number of schools.</w:t>
      </w:r>
    </w:p>
    <w:p w:rsidR="00287604" w:rsidRDefault="001908BE" w:rsidP="00FD1B3F">
      <w:pPr>
        <w:spacing w:after="0"/>
        <w:rPr>
          <w:lang w:val="en-NZ"/>
        </w:rPr>
      </w:pPr>
      <w:r>
        <w:rPr>
          <w:noProof/>
          <w:lang w:val="en-NZ" w:eastAsia="en-NZ"/>
        </w:rPr>
        <w:drawing>
          <wp:inline distT="0" distB="0" distL="0" distR="0">
            <wp:extent cx="4310419" cy="2693942"/>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D1B3F" w:rsidRPr="004B33E5" w:rsidRDefault="00FD1B3F" w:rsidP="00FD1B3F">
      <w:pPr>
        <w:jc w:val="right"/>
        <w:rPr>
          <w:i/>
          <w:lang w:val="en-NZ"/>
        </w:rPr>
      </w:pPr>
      <w:r w:rsidRPr="004B33E5">
        <w:rPr>
          <w:i/>
          <w:lang w:val="en-NZ"/>
        </w:rPr>
        <w:t xml:space="preserve">FIDS data and </w:t>
      </w:r>
      <w:r>
        <w:rPr>
          <w:i/>
          <w:lang w:val="en-NZ"/>
        </w:rPr>
        <w:t>S</w:t>
      </w:r>
      <w:r w:rsidRPr="004B33E5">
        <w:rPr>
          <w:i/>
          <w:lang w:val="en-NZ"/>
        </w:rPr>
        <w:t xml:space="preserve">chool </w:t>
      </w:r>
      <w:r>
        <w:rPr>
          <w:i/>
          <w:lang w:val="en-NZ"/>
        </w:rPr>
        <w:t>Directory</w:t>
      </w:r>
      <w:r w:rsidRPr="004B33E5">
        <w:rPr>
          <w:i/>
          <w:lang w:val="en-NZ"/>
        </w:rPr>
        <w:t xml:space="preserve">, </w:t>
      </w:r>
      <w:r>
        <w:rPr>
          <w:i/>
          <w:lang w:val="en-NZ"/>
        </w:rPr>
        <w:t>96</w:t>
      </w:r>
      <w:r w:rsidRPr="004B33E5">
        <w:rPr>
          <w:i/>
          <w:lang w:val="en-NZ"/>
        </w:rPr>
        <w:t xml:space="preserve"> schools</w:t>
      </w:r>
    </w:p>
    <w:p w:rsidR="00C94471" w:rsidRDefault="0065511F" w:rsidP="00FD1B3F">
      <w:pPr>
        <w:rPr>
          <w:lang w:val="en-NZ"/>
        </w:rPr>
      </w:pPr>
      <w:r>
        <w:rPr>
          <w:lang w:val="en-NZ"/>
        </w:rPr>
        <w:lastRenderedPageBreak/>
        <w:t>The distribution for special schools is</w:t>
      </w:r>
      <w:r w:rsidR="00E72D9A">
        <w:rPr>
          <w:lang w:val="en-NZ"/>
        </w:rPr>
        <w:t xml:space="preserve"> more mixed, reflecting that each of the small number of schools is almost unique. Because the overall quantum of expenditure is higher on average, the proportions for Property, Administration and Other expenses is lower than for other school types.</w:t>
      </w:r>
    </w:p>
    <w:p w:rsidR="00FD1B3F" w:rsidRDefault="00435702" w:rsidP="00FD1B3F">
      <w:pPr>
        <w:rPr>
          <w:lang w:val="en-NZ"/>
        </w:rPr>
      </w:pPr>
      <w:r>
        <w:rPr>
          <w:lang w:val="en-NZ"/>
        </w:rPr>
        <w:t>We have not shown average expenditure per student because we do not have accurate information about the total number of students served by each school (e.g. including outreach programmes etc).</w:t>
      </w:r>
    </w:p>
    <w:p w:rsidR="00287604" w:rsidRPr="00DB433A" w:rsidRDefault="00287604" w:rsidP="00287604">
      <w:pPr>
        <w:pStyle w:val="Sectionintro"/>
        <w:rPr>
          <w:lang w:val="en-NZ"/>
        </w:rPr>
      </w:pPr>
      <w:r w:rsidRPr="00DB433A">
        <w:rPr>
          <w:lang w:val="en-NZ"/>
        </w:rPr>
        <w:t>Expenditure to reduce barriers</w:t>
      </w:r>
    </w:p>
    <w:p w:rsidR="00287604" w:rsidRPr="00DB433A" w:rsidRDefault="00287604" w:rsidP="00287604">
      <w:pPr>
        <w:rPr>
          <w:lang w:val="en-NZ"/>
        </w:rPr>
      </w:pPr>
      <w:r w:rsidRPr="00DB433A">
        <w:rPr>
          <w:lang w:val="en-NZ"/>
        </w:rPr>
        <w:t>As part of our survey</w:t>
      </w:r>
      <w:r w:rsidR="00FA5273">
        <w:rPr>
          <w:lang w:val="en-NZ"/>
        </w:rPr>
        <w:t xml:space="preserve"> (53 respondents) and our follow up interviews with 17 schools</w:t>
      </w:r>
      <w:r w:rsidRPr="00DB433A">
        <w:rPr>
          <w:lang w:val="en-NZ"/>
        </w:rPr>
        <w:t>, we asked about expenditure to reduce barriers to educational achievement.</w:t>
      </w:r>
      <w:r w:rsidR="00BA4D31">
        <w:rPr>
          <w:lang w:val="en-NZ"/>
        </w:rPr>
        <w:t xml:space="preserve"> The discussion below is based on 53 survey responses, and therefore </w:t>
      </w:r>
      <w:r w:rsidR="004E0940">
        <w:rPr>
          <w:lang w:val="en-NZ"/>
        </w:rPr>
        <w:t>needs to be seen as indicative.</w:t>
      </w:r>
    </w:p>
    <w:p w:rsidR="00287604" w:rsidRPr="00DB433A" w:rsidRDefault="00287604" w:rsidP="00287604">
      <w:pPr>
        <w:pStyle w:val="Heading1BlueNumbered"/>
        <w:numPr>
          <w:ilvl w:val="0"/>
          <w:numId w:val="0"/>
        </w:numPr>
        <w:ind w:left="851" w:hanging="851"/>
      </w:pPr>
      <w:r w:rsidRPr="00DB433A">
        <w:t>Teacher Aides</w:t>
      </w:r>
    </w:p>
    <w:p w:rsidR="00287604" w:rsidRPr="00DB433A" w:rsidRDefault="00287604" w:rsidP="00287604">
      <w:pPr>
        <w:rPr>
          <w:lang w:val="en-NZ"/>
        </w:rPr>
      </w:pPr>
      <w:r w:rsidRPr="00DB433A">
        <w:rPr>
          <w:lang w:val="en-NZ"/>
        </w:rPr>
        <w:t>Of the schools that responded, 81% selected additional Teacher Aides as a significant item. In the staffing section below we have analysed the ratios of teaching support staff (predominantly Teacher Aides) to teachers across schools, which shows lower decile schools tend to have proportionally higher Teacher Aides.</w:t>
      </w:r>
    </w:p>
    <w:p w:rsidR="00FA5273" w:rsidRDefault="00287604" w:rsidP="00287604">
      <w:pPr>
        <w:rPr>
          <w:lang w:val="en-NZ"/>
        </w:rPr>
      </w:pPr>
      <w:r w:rsidRPr="00DB433A">
        <w:rPr>
          <w:lang w:val="en-NZ"/>
        </w:rPr>
        <w:t xml:space="preserve">The schools that told us they employ additional Teacher Aides ranged across all deciles. </w:t>
      </w:r>
      <w:r w:rsidR="00FA5273">
        <w:rPr>
          <w:lang w:val="en-NZ"/>
        </w:rPr>
        <w:t>O</w:t>
      </w:r>
      <w:r w:rsidRPr="00DB433A">
        <w:rPr>
          <w:lang w:val="en-NZ"/>
        </w:rPr>
        <w:t xml:space="preserve">ur interviews </w:t>
      </w:r>
      <w:r w:rsidR="00FA5273">
        <w:rPr>
          <w:lang w:val="en-NZ"/>
        </w:rPr>
        <w:t xml:space="preserve">suggest there are two main ways </w:t>
      </w:r>
      <w:r w:rsidRPr="00DB433A">
        <w:rPr>
          <w:lang w:val="en-NZ"/>
        </w:rPr>
        <w:t xml:space="preserve">Teacher Aides </w:t>
      </w:r>
      <w:r w:rsidR="00FA5273">
        <w:rPr>
          <w:lang w:val="en-NZ"/>
        </w:rPr>
        <w:t>are</w:t>
      </w:r>
      <w:r w:rsidRPr="00DB433A">
        <w:rPr>
          <w:lang w:val="en-NZ"/>
        </w:rPr>
        <w:t xml:space="preserve"> commonly used</w:t>
      </w:r>
      <w:r w:rsidR="00FA5273">
        <w:rPr>
          <w:lang w:val="en-NZ"/>
        </w:rPr>
        <w:t>:</w:t>
      </w:r>
    </w:p>
    <w:p w:rsidR="00FA5273" w:rsidRDefault="00FA5273" w:rsidP="00FA5273">
      <w:pPr>
        <w:pStyle w:val="ListParagraph"/>
        <w:numPr>
          <w:ilvl w:val="0"/>
          <w:numId w:val="44"/>
        </w:numPr>
        <w:rPr>
          <w:lang w:val="en-NZ"/>
        </w:rPr>
      </w:pPr>
      <w:r>
        <w:rPr>
          <w:lang w:val="en-NZ"/>
        </w:rPr>
        <w:t>T</w:t>
      </w:r>
      <w:r w:rsidR="00287604" w:rsidRPr="00FA5273">
        <w:rPr>
          <w:lang w:val="en-NZ"/>
        </w:rPr>
        <w:t xml:space="preserve">o support individuals </w:t>
      </w:r>
      <w:r>
        <w:rPr>
          <w:lang w:val="en-NZ"/>
        </w:rPr>
        <w:t xml:space="preserve">with behavioural </w:t>
      </w:r>
      <w:r w:rsidR="001E3F45">
        <w:rPr>
          <w:lang w:val="en-NZ"/>
        </w:rPr>
        <w:t>needs</w:t>
      </w:r>
    </w:p>
    <w:p w:rsidR="00287604" w:rsidRPr="00FA5273" w:rsidRDefault="00FA5273" w:rsidP="00FA5273">
      <w:pPr>
        <w:pStyle w:val="ListParagraph"/>
        <w:numPr>
          <w:ilvl w:val="0"/>
          <w:numId w:val="44"/>
        </w:numPr>
        <w:rPr>
          <w:lang w:val="en-NZ"/>
        </w:rPr>
      </w:pPr>
      <w:r>
        <w:rPr>
          <w:lang w:val="en-NZ"/>
        </w:rPr>
        <w:t>Working with individuals or small groups</w:t>
      </w:r>
      <w:r w:rsidR="00287604" w:rsidRPr="00FA5273">
        <w:rPr>
          <w:lang w:val="en-NZ"/>
        </w:rPr>
        <w:t xml:space="preserve"> </w:t>
      </w:r>
      <w:r>
        <w:rPr>
          <w:lang w:val="en-NZ"/>
        </w:rPr>
        <w:t>to address learning difficulties</w:t>
      </w:r>
    </w:p>
    <w:p w:rsidR="00287604" w:rsidRPr="00DB433A" w:rsidRDefault="00287604" w:rsidP="00287604">
      <w:pPr>
        <w:pStyle w:val="Heading1BlueNumbered"/>
        <w:numPr>
          <w:ilvl w:val="0"/>
          <w:numId w:val="0"/>
        </w:numPr>
        <w:ind w:left="851" w:hanging="851"/>
      </w:pPr>
      <w:r w:rsidRPr="00DB433A">
        <w:t>Lower class sizes and special programmes</w:t>
      </w:r>
    </w:p>
    <w:p w:rsidR="00287604" w:rsidRPr="00DB433A" w:rsidRDefault="00287604" w:rsidP="00287604">
      <w:pPr>
        <w:rPr>
          <w:lang w:val="en-NZ"/>
        </w:rPr>
      </w:pPr>
      <w:r w:rsidRPr="00DB433A">
        <w:rPr>
          <w:lang w:val="en-NZ"/>
        </w:rPr>
        <w:t>Only 28% of respondents told us they employ additional teachers specifically to reduce class sizes, in order to lower barriers. This included some higher decile schools, but the majority was in deciles 1 to 5.</w:t>
      </w:r>
    </w:p>
    <w:p w:rsidR="00287604" w:rsidRPr="00DB433A" w:rsidRDefault="00287604" w:rsidP="00287604">
      <w:pPr>
        <w:rPr>
          <w:lang w:val="en-NZ"/>
        </w:rPr>
      </w:pPr>
      <w:r w:rsidRPr="00DB433A">
        <w:rPr>
          <w:lang w:val="en-NZ"/>
        </w:rPr>
        <w:t>42% of respondents have special programmes for sets of students to lower barriers. This included common programmes (e.g. Reading Recovery, ESOL, Accelerated Literacy Learning) as well as general life skills educational experiences.</w:t>
      </w:r>
    </w:p>
    <w:p w:rsidR="00287604" w:rsidRPr="00DB433A" w:rsidRDefault="00287604" w:rsidP="00287604">
      <w:pPr>
        <w:pStyle w:val="Heading1BlueNumbered"/>
        <w:numPr>
          <w:ilvl w:val="0"/>
          <w:numId w:val="0"/>
        </w:numPr>
        <w:ind w:left="851" w:hanging="851"/>
      </w:pPr>
      <w:r w:rsidRPr="00DB433A">
        <w:t>Subsidising costs for students</w:t>
      </w:r>
    </w:p>
    <w:p w:rsidR="00287604" w:rsidRPr="00DB433A" w:rsidRDefault="00287604" w:rsidP="00287604">
      <w:pPr>
        <w:rPr>
          <w:lang w:val="en-NZ"/>
        </w:rPr>
      </w:pPr>
      <w:r w:rsidRPr="00DB433A">
        <w:rPr>
          <w:lang w:val="en-NZ"/>
        </w:rPr>
        <w:t>Via the survey, 53% of respondents included subsidising costs</w:t>
      </w:r>
      <w:r w:rsidR="00B65FBF">
        <w:rPr>
          <w:lang w:val="en-NZ"/>
        </w:rPr>
        <w:t xml:space="preserve"> </w:t>
      </w:r>
      <w:r w:rsidRPr="00DB433A">
        <w:rPr>
          <w:lang w:val="en-NZ"/>
        </w:rPr>
        <w:t>as a way to reduce barriers, and this included high decile as well as most schools in lower deciles.</w:t>
      </w:r>
      <w:r w:rsidR="00B65FBF">
        <w:rPr>
          <w:lang w:val="en-NZ"/>
        </w:rPr>
        <w:t xml:space="preserve"> There are costs normally met directly by families of students such as uniforms and stationery, and schools take a range of approaches to help families who might struggle to meet these costs.</w:t>
      </w:r>
    </w:p>
    <w:p w:rsidR="00287604" w:rsidRPr="00DB433A" w:rsidRDefault="00B65FBF" w:rsidP="00287604">
      <w:pPr>
        <w:rPr>
          <w:lang w:val="en-NZ"/>
        </w:rPr>
      </w:pPr>
      <w:r>
        <w:rPr>
          <w:lang w:val="en-NZ"/>
        </w:rPr>
        <w:t>O</w:t>
      </w:r>
      <w:r w:rsidR="00287604" w:rsidRPr="00DB433A">
        <w:rPr>
          <w:lang w:val="en-NZ"/>
        </w:rPr>
        <w:t xml:space="preserve">ur interviews suggest the </w:t>
      </w:r>
      <w:r>
        <w:rPr>
          <w:lang w:val="en-NZ"/>
        </w:rPr>
        <w:t>subsidisation of certain types of cost is relatively common, although it is not practical to gauge a precise level</w:t>
      </w:r>
      <w:r w:rsidR="00287604" w:rsidRPr="00DB433A">
        <w:rPr>
          <w:lang w:val="en-NZ"/>
        </w:rPr>
        <w:t>.</w:t>
      </w:r>
    </w:p>
    <w:p w:rsidR="00287604" w:rsidRPr="00DB433A" w:rsidRDefault="00287604" w:rsidP="00287604">
      <w:pPr>
        <w:rPr>
          <w:lang w:val="en-NZ"/>
        </w:rPr>
      </w:pPr>
      <w:r w:rsidRPr="00DB433A">
        <w:rPr>
          <w:lang w:val="en-NZ"/>
        </w:rPr>
        <w:t>The lower decile schools we talked to all use funding to provide opportunities to their students – outdoor activities, sports, culture etc. Most also provide help with uniforms, food programmes and educational materials, where they see a risk that parents would struggle to afford these. Many of the lower decile schools we talked to also engage in specific fund-</w:t>
      </w:r>
      <w:r w:rsidRPr="00DB433A">
        <w:rPr>
          <w:lang w:val="en-NZ"/>
        </w:rPr>
        <w:lastRenderedPageBreak/>
        <w:t>raising, e.g. seeking grants from charitable trusts, so that they can provide these subsidies and materials.</w:t>
      </w:r>
    </w:p>
    <w:p w:rsidR="00287604" w:rsidRPr="00DB433A" w:rsidRDefault="00287604" w:rsidP="00287604">
      <w:pPr>
        <w:rPr>
          <w:lang w:val="en-NZ"/>
        </w:rPr>
      </w:pPr>
      <w:r w:rsidRPr="00DB433A">
        <w:rPr>
          <w:lang w:val="en-NZ"/>
        </w:rPr>
        <w:t>The higher decile schools we talked to also essentially subsidise co-curricular activities in a similar way. While most of these receive greater amounts in parent donations than lower decile schools, the full costs of participating in such activities is seldom passed on directly to students.</w:t>
      </w:r>
    </w:p>
    <w:p w:rsidR="00AF1EF8" w:rsidRPr="00DB433A" w:rsidRDefault="00AF1EF8" w:rsidP="00AF1EF8">
      <w:pPr>
        <w:spacing w:after="200" w:line="276" w:lineRule="auto"/>
        <w:rPr>
          <w:lang w:val="en-NZ"/>
        </w:rPr>
      </w:pPr>
      <w:r w:rsidRPr="00DB433A">
        <w:rPr>
          <w:lang w:val="en-NZ"/>
        </w:rPr>
        <w:br w:type="page"/>
      </w:r>
    </w:p>
    <w:p w:rsidR="000D3A31" w:rsidRPr="00DB433A" w:rsidRDefault="000D3A31" w:rsidP="000D3A31">
      <w:pPr>
        <w:pStyle w:val="Sectiontitle"/>
        <w:rPr>
          <w:lang w:val="en-NZ"/>
        </w:rPr>
      </w:pPr>
      <w:bookmarkStart w:id="6" w:name="_Toc463604448"/>
      <w:r w:rsidRPr="00DB433A">
        <w:rPr>
          <w:lang w:val="en-NZ"/>
        </w:rPr>
        <w:lastRenderedPageBreak/>
        <w:t>Staffing</w:t>
      </w:r>
      <w:bookmarkEnd w:id="6"/>
    </w:p>
    <w:p w:rsidR="000D3A31" w:rsidRPr="00DB433A" w:rsidRDefault="000D3A31" w:rsidP="000D3A31">
      <w:pPr>
        <w:pStyle w:val="Sectionintro"/>
        <w:rPr>
          <w:lang w:val="en-NZ"/>
        </w:rPr>
      </w:pPr>
      <w:r w:rsidRPr="00DB433A">
        <w:rPr>
          <w:lang w:val="en-NZ"/>
        </w:rPr>
        <w:t>Summary</w:t>
      </w:r>
    </w:p>
    <w:p w:rsidR="00C84D0C" w:rsidRDefault="000D3A31" w:rsidP="007778BB">
      <w:pPr>
        <w:rPr>
          <w:lang w:val="en-NZ"/>
        </w:rPr>
      </w:pPr>
      <w:r w:rsidRPr="00DB433A">
        <w:rPr>
          <w:lang w:val="en-NZ"/>
        </w:rPr>
        <w:t xml:space="preserve">This section provides detailed analysis of staffing across schools, which is the area of </w:t>
      </w:r>
      <w:r w:rsidR="00C84D0C">
        <w:rPr>
          <w:lang w:val="en-NZ"/>
        </w:rPr>
        <w:t>greatest operating expenditure.</w:t>
      </w:r>
    </w:p>
    <w:p w:rsidR="007778BB" w:rsidRDefault="007778BB" w:rsidP="007778BB">
      <w:pPr>
        <w:rPr>
          <w:lang w:val="en-NZ"/>
        </w:rPr>
      </w:pPr>
      <w:r w:rsidRPr="00F60CC0">
        <w:rPr>
          <w:lang w:val="en-NZ"/>
        </w:rPr>
        <w:t>The Ministry provides an FTTE entitlement for teachers to all schools, based on school type, roll size and composit</w:t>
      </w:r>
      <w:r>
        <w:rPr>
          <w:lang w:val="en-NZ"/>
        </w:rPr>
        <w:t>i</w:t>
      </w:r>
      <w:r w:rsidRPr="00F60CC0">
        <w:rPr>
          <w:lang w:val="en-NZ"/>
        </w:rPr>
        <w:t>on, and whether teaching is Maori Immersion. Funding is also separately provided in the operational grant to meet the cost of relief teachers.</w:t>
      </w:r>
    </w:p>
    <w:p w:rsidR="000D3A31" w:rsidRPr="00DB433A" w:rsidRDefault="000D3A31" w:rsidP="000D3A31">
      <w:pPr>
        <w:rPr>
          <w:lang w:val="en-NZ"/>
        </w:rPr>
      </w:pPr>
      <w:r w:rsidRPr="00DB433A">
        <w:rPr>
          <w:lang w:val="en-NZ"/>
        </w:rPr>
        <w:t>Our analysis has identified four findings we believe are of particular interest.</w:t>
      </w:r>
    </w:p>
    <w:p w:rsidR="00E102B8" w:rsidRPr="00DB433A" w:rsidRDefault="00E102B8" w:rsidP="00E102B8">
      <w:pPr>
        <w:pStyle w:val="Heading1BlueNumbered"/>
        <w:numPr>
          <w:ilvl w:val="0"/>
          <w:numId w:val="0"/>
        </w:numPr>
        <w:ind w:left="851" w:hanging="851"/>
      </w:pPr>
      <w:r w:rsidRPr="00DB433A">
        <w:t>Relieving teachers from FTTE entitlements</w:t>
      </w:r>
    </w:p>
    <w:p w:rsidR="00E102B8" w:rsidRPr="00DB433A" w:rsidRDefault="00E102B8" w:rsidP="00E102B8">
      <w:pPr>
        <w:rPr>
          <w:lang w:val="en-NZ"/>
        </w:rPr>
      </w:pPr>
      <w:r w:rsidRPr="00DB433A">
        <w:rPr>
          <w:lang w:val="en-NZ"/>
        </w:rPr>
        <w:t>A significant number of Relievers are employed from schools’ FTTE entitlement (1,249 FTE or 46% of Relievers). Many schools that make relatively high use of Relievers use 5% or more of their FTTE entitlement on these (70% of 600 such schools).</w:t>
      </w:r>
    </w:p>
    <w:p w:rsidR="000D3A31" w:rsidRPr="00DB433A" w:rsidRDefault="000D3A31" w:rsidP="000D3A31">
      <w:pPr>
        <w:pStyle w:val="Heading1BlueNumbered"/>
        <w:numPr>
          <w:ilvl w:val="0"/>
          <w:numId w:val="0"/>
        </w:numPr>
        <w:ind w:left="851" w:hanging="851"/>
      </w:pPr>
      <w:r w:rsidRPr="00DB433A">
        <w:t>Employing teachers from operational grants</w:t>
      </w:r>
    </w:p>
    <w:p w:rsidR="006B577D" w:rsidRDefault="006B577D" w:rsidP="000D3A31">
      <w:pPr>
        <w:rPr>
          <w:lang w:val="en-NZ"/>
        </w:rPr>
      </w:pPr>
      <w:r>
        <w:rPr>
          <w:lang w:val="en-NZ"/>
        </w:rPr>
        <w:t>Operational grants give schools flexibility in how to use funding, with the expectation that some of this might be spent on teachers (e.g. TFEA, SEG, Maori Language funding). The operational grant also includes specific funding for relieving teachers.</w:t>
      </w:r>
    </w:p>
    <w:p w:rsidR="000D3A31" w:rsidRPr="00DB433A" w:rsidRDefault="000D3A31" w:rsidP="000D3A31">
      <w:pPr>
        <w:rPr>
          <w:lang w:val="en-NZ"/>
        </w:rPr>
      </w:pPr>
      <w:r w:rsidRPr="00DB433A">
        <w:rPr>
          <w:lang w:val="en-NZ"/>
        </w:rPr>
        <w:t xml:space="preserve">The majority of schools employ more teachers </w:t>
      </w:r>
      <w:r w:rsidR="003D7BDF">
        <w:rPr>
          <w:lang w:val="en-NZ"/>
        </w:rPr>
        <w:t>(</w:t>
      </w:r>
      <w:r w:rsidR="008111FD">
        <w:rPr>
          <w:lang w:val="en-NZ"/>
        </w:rPr>
        <w:t>R</w:t>
      </w:r>
      <w:r w:rsidR="003D7BDF">
        <w:rPr>
          <w:lang w:val="en-NZ"/>
        </w:rPr>
        <w:t xml:space="preserve">egular </w:t>
      </w:r>
      <w:r w:rsidR="008111FD">
        <w:rPr>
          <w:lang w:val="en-NZ"/>
        </w:rPr>
        <w:t xml:space="preserve">Teachers </w:t>
      </w:r>
      <w:r w:rsidR="003D7BDF">
        <w:rPr>
          <w:lang w:val="en-NZ"/>
        </w:rPr>
        <w:t xml:space="preserve">as well as </w:t>
      </w:r>
      <w:r w:rsidR="008111FD">
        <w:rPr>
          <w:lang w:val="en-NZ"/>
        </w:rPr>
        <w:t>R</w:t>
      </w:r>
      <w:r w:rsidR="003D7BDF">
        <w:rPr>
          <w:lang w:val="en-NZ"/>
        </w:rPr>
        <w:t xml:space="preserve">elievers) </w:t>
      </w:r>
      <w:r w:rsidRPr="00DB433A">
        <w:rPr>
          <w:lang w:val="en-NZ"/>
        </w:rPr>
        <w:t>than the</w:t>
      </w:r>
      <w:r w:rsidR="006B577D">
        <w:rPr>
          <w:lang w:val="en-NZ"/>
        </w:rPr>
        <w:t>ir FTTE entitlements.</w:t>
      </w:r>
      <w:r w:rsidRPr="00DB433A">
        <w:rPr>
          <w:lang w:val="en-NZ"/>
        </w:rPr>
        <w:t xml:space="preserve"> Lower decile schools tend to employ a greater proportion of their teachers from bulk grants than higher decile schools, but this is a relatively small difference.</w:t>
      </w:r>
    </w:p>
    <w:p w:rsidR="00E102B8" w:rsidRDefault="000D3A31" w:rsidP="000D3A31">
      <w:pPr>
        <w:rPr>
          <w:lang w:val="en-NZ"/>
        </w:rPr>
      </w:pPr>
      <w:r w:rsidRPr="00DB433A">
        <w:rPr>
          <w:lang w:val="en-NZ"/>
        </w:rPr>
        <w:t>O</w:t>
      </w:r>
      <w:r w:rsidR="00E102B8">
        <w:rPr>
          <w:lang w:val="en-NZ"/>
        </w:rPr>
        <w:t>verall</w:t>
      </w:r>
      <w:r w:rsidRPr="00DB433A">
        <w:rPr>
          <w:lang w:val="en-NZ"/>
        </w:rPr>
        <w:t xml:space="preserve">, schools </w:t>
      </w:r>
      <w:r w:rsidR="00E102B8">
        <w:rPr>
          <w:lang w:val="en-NZ"/>
        </w:rPr>
        <w:t>employ 4.8</w:t>
      </w:r>
      <w:r w:rsidRPr="00DB433A">
        <w:rPr>
          <w:lang w:val="en-NZ"/>
        </w:rPr>
        <w:t xml:space="preserve">% </w:t>
      </w:r>
      <w:r w:rsidR="00276320">
        <w:rPr>
          <w:lang w:val="en-NZ"/>
        </w:rPr>
        <w:t>of R</w:t>
      </w:r>
      <w:r w:rsidR="00E102B8">
        <w:rPr>
          <w:lang w:val="en-NZ"/>
        </w:rPr>
        <w:t xml:space="preserve">egular </w:t>
      </w:r>
      <w:r w:rsidR="00276320">
        <w:rPr>
          <w:lang w:val="en-NZ"/>
        </w:rPr>
        <w:t>T</w:t>
      </w:r>
      <w:r w:rsidR="00E102B8">
        <w:rPr>
          <w:lang w:val="en-NZ"/>
        </w:rPr>
        <w:t xml:space="preserve">eachers from bulk grants (2,209 FTE). Netting off the number of </w:t>
      </w:r>
      <w:r w:rsidR="008111FD">
        <w:rPr>
          <w:lang w:val="en-NZ"/>
        </w:rPr>
        <w:t>R</w:t>
      </w:r>
      <w:r w:rsidR="00E102B8">
        <w:rPr>
          <w:lang w:val="en-NZ"/>
        </w:rPr>
        <w:t xml:space="preserve">elievers employed through FTTE entitlement would reduce this to </w:t>
      </w:r>
      <w:r w:rsidR="00DC63EE">
        <w:rPr>
          <w:lang w:val="en-NZ"/>
        </w:rPr>
        <w:t>2.1</w:t>
      </w:r>
      <w:r w:rsidR="00276320">
        <w:rPr>
          <w:lang w:val="en-NZ"/>
        </w:rPr>
        <w:t>% of R</w:t>
      </w:r>
      <w:r w:rsidR="00E102B8">
        <w:rPr>
          <w:lang w:val="en-NZ"/>
        </w:rPr>
        <w:t xml:space="preserve">egular </w:t>
      </w:r>
      <w:r w:rsidR="00276320">
        <w:rPr>
          <w:lang w:val="en-NZ"/>
        </w:rPr>
        <w:t>T</w:t>
      </w:r>
      <w:r w:rsidR="00E102B8">
        <w:rPr>
          <w:lang w:val="en-NZ"/>
        </w:rPr>
        <w:t>eachers (</w:t>
      </w:r>
      <w:r w:rsidR="00DC63EE">
        <w:rPr>
          <w:lang w:val="en-NZ"/>
        </w:rPr>
        <w:t>959</w:t>
      </w:r>
      <w:r w:rsidR="00E102B8">
        <w:rPr>
          <w:lang w:val="en-NZ"/>
        </w:rPr>
        <w:t xml:space="preserve"> FTE).</w:t>
      </w:r>
    </w:p>
    <w:p w:rsidR="000D3A31" w:rsidRPr="00DB433A" w:rsidRDefault="001E3F45" w:rsidP="000D3A31">
      <w:pPr>
        <w:rPr>
          <w:lang w:val="en-NZ"/>
        </w:rPr>
      </w:pPr>
      <w:r>
        <w:rPr>
          <w:lang w:val="en-NZ"/>
        </w:rPr>
        <w:t xml:space="preserve">Including Relievers, </w:t>
      </w:r>
      <w:r w:rsidR="00B06935">
        <w:rPr>
          <w:lang w:val="en-NZ"/>
        </w:rPr>
        <w:t>50</w:t>
      </w:r>
      <w:r w:rsidR="00225262">
        <w:rPr>
          <w:lang w:val="en-NZ"/>
        </w:rPr>
        <w:t>% of schools employ</w:t>
      </w:r>
      <w:r w:rsidR="000D3A31" w:rsidRPr="00DB433A">
        <w:rPr>
          <w:lang w:val="en-NZ"/>
        </w:rPr>
        <w:t xml:space="preserve"> </w:t>
      </w:r>
      <w:r w:rsidR="00225262">
        <w:rPr>
          <w:lang w:val="en-NZ"/>
        </w:rPr>
        <w:t>from</w:t>
      </w:r>
      <w:r w:rsidR="000D3A31" w:rsidRPr="00DB433A">
        <w:rPr>
          <w:lang w:val="en-NZ"/>
        </w:rPr>
        <w:t xml:space="preserve"> 4%</w:t>
      </w:r>
      <w:r w:rsidR="00225262">
        <w:rPr>
          <w:lang w:val="en-NZ"/>
        </w:rPr>
        <w:t>-</w:t>
      </w:r>
      <w:r w:rsidR="000D3A31" w:rsidRPr="00DB433A">
        <w:rPr>
          <w:lang w:val="en-NZ"/>
        </w:rPr>
        <w:t xml:space="preserve">12% </w:t>
      </w:r>
      <w:r w:rsidR="00225262">
        <w:rPr>
          <w:lang w:val="en-NZ"/>
        </w:rPr>
        <w:t>of teachers from bulk grants, and 32%</w:t>
      </w:r>
      <w:r w:rsidR="000D3A31" w:rsidRPr="00DB433A">
        <w:rPr>
          <w:lang w:val="en-NZ"/>
        </w:rPr>
        <w:t xml:space="preserve"> of schools employ less than 4% </w:t>
      </w:r>
      <w:r w:rsidR="00225262">
        <w:rPr>
          <w:lang w:val="en-NZ"/>
        </w:rPr>
        <w:t>of teachers from bulk grants</w:t>
      </w:r>
      <w:r w:rsidR="000D3A31" w:rsidRPr="00DB433A">
        <w:rPr>
          <w:lang w:val="en-NZ"/>
        </w:rPr>
        <w:t>.</w:t>
      </w:r>
    </w:p>
    <w:p w:rsidR="000D3A31" w:rsidRPr="00DB433A" w:rsidRDefault="000D3A31" w:rsidP="000D3A31">
      <w:pPr>
        <w:pStyle w:val="Heading1BlueNumbered"/>
        <w:numPr>
          <w:ilvl w:val="0"/>
          <w:numId w:val="0"/>
        </w:numPr>
        <w:ind w:left="851" w:hanging="851"/>
      </w:pPr>
      <w:r w:rsidRPr="00DB433A">
        <w:t>Average salary differences between funding sources</w:t>
      </w:r>
    </w:p>
    <w:p w:rsidR="0096533E" w:rsidRDefault="000D3A31" w:rsidP="000D3A31">
      <w:pPr>
        <w:rPr>
          <w:lang w:val="en-NZ"/>
        </w:rPr>
      </w:pPr>
      <w:r w:rsidRPr="00DB433A">
        <w:rPr>
          <w:lang w:val="en-NZ"/>
        </w:rPr>
        <w:t xml:space="preserve">The average salary of </w:t>
      </w:r>
      <w:r w:rsidR="00276320">
        <w:rPr>
          <w:lang w:val="en-NZ"/>
        </w:rPr>
        <w:t>R</w:t>
      </w:r>
      <w:r w:rsidR="009E663D">
        <w:rPr>
          <w:lang w:val="en-NZ"/>
        </w:rPr>
        <w:t xml:space="preserve">egular </w:t>
      </w:r>
      <w:r w:rsidR="00276320">
        <w:rPr>
          <w:lang w:val="en-NZ"/>
        </w:rPr>
        <w:t>T</w:t>
      </w:r>
      <w:r w:rsidRPr="00DB433A">
        <w:rPr>
          <w:lang w:val="en-NZ"/>
        </w:rPr>
        <w:t>eachers</w:t>
      </w:r>
      <w:r w:rsidR="00ED5CDE">
        <w:rPr>
          <w:rStyle w:val="FootnoteReference"/>
          <w:lang w:val="en-NZ"/>
        </w:rPr>
        <w:footnoteReference w:id="3"/>
      </w:r>
      <w:r w:rsidRPr="00DB433A">
        <w:rPr>
          <w:lang w:val="en-NZ"/>
        </w:rPr>
        <w:t xml:space="preserve"> paid through the </w:t>
      </w:r>
      <w:r w:rsidR="0096533E">
        <w:rPr>
          <w:lang w:val="en-NZ"/>
        </w:rPr>
        <w:t xml:space="preserve">FTTE </w:t>
      </w:r>
      <w:r w:rsidR="002D2084">
        <w:rPr>
          <w:lang w:val="en-NZ"/>
        </w:rPr>
        <w:t>entitlement</w:t>
      </w:r>
      <w:r w:rsidRPr="00DB433A">
        <w:rPr>
          <w:lang w:val="en-NZ"/>
        </w:rPr>
        <w:t xml:space="preserve"> is </w:t>
      </w:r>
      <w:r w:rsidR="009E663D">
        <w:rPr>
          <w:lang w:val="en-NZ"/>
        </w:rPr>
        <w:t>11</w:t>
      </w:r>
      <w:r w:rsidRPr="00DB433A">
        <w:rPr>
          <w:lang w:val="en-NZ"/>
        </w:rPr>
        <w:t xml:space="preserve">% higher than for </w:t>
      </w:r>
      <w:r w:rsidR="00276320">
        <w:rPr>
          <w:lang w:val="en-NZ"/>
        </w:rPr>
        <w:t>R</w:t>
      </w:r>
      <w:r w:rsidR="009E663D">
        <w:rPr>
          <w:lang w:val="en-NZ"/>
        </w:rPr>
        <w:t xml:space="preserve">egular </w:t>
      </w:r>
      <w:r w:rsidR="00276320">
        <w:rPr>
          <w:lang w:val="en-NZ"/>
        </w:rPr>
        <w:t>T</w:t>
      </w:r>
      <w:r w:rsidRPr="00DB433A">
        <w:rPr>
          <w:lang w:val="en-NZ"/>
        </w:rPr>
        <w:t>eachers paid from other funds.</w:t>
      </w:r>
    </w:p>
    <w:p w:rsidR="000D3A31" w:rsidRPr="00DB433A" w:rsidRDefault="000D3A31" w:rsidP="000D3A31">
      <w:pPr>
        <w:rPr>
          <w:lang w:val="en-NZ"/>
        </w:rPr>
      </w:pPr>
      <w:r w:rsidRPr="00DB433A">
        <w:rPr>
          <w:lang w:val="en-NZ"/>
        </w:rPr>
        <w:t>This is not surprising given the Teachers Salaries Grants provide an FTTE entitlement (i.e. the Ministry carries the salary risk) whereas staff employed from other funding are real cash expenses for schools.</w:t>
      </w:r>
    </w:p>
    <w:p w:rsidR="000D3A31" w:rsidRPr="00DB433A" w:rsidRDefault="000D3A31" w:rsidP="000D3A31">
      <w:pPr>
        <w:pStyle w:val="Heading1BlueNumbered"/>
        <w:numPr>
          <w:ilvl w:val="0"/>
          <w:numId w:val="0"/>
        </w:numPr>
        <w:ind w:left="851" w:hanging="851"/>
      </w:pPr>
      <w:r w:rsidRPr="00DB433A">
        <w:t>Teacher Aides and Teaching Support</w:t>
      </w:r>
    </w:p>
    <w:p w:rsidR="000D3A31" w:rsidRPr="00DB433A" w:rsidRDefault="000D3A31" w:rsidP="000D3A31">
      <w:pPr>
        <w:rPr>
          <w:lang w:val="en-NZ"/>
        </w:rPr>
      </w:pPr>
      <w:r w:rsidRPr="00DB433A">
        <w:rPr>
          <w:lang w:val="en-NZ"/>
        </w:rPr>
        <w:t>Smaller schools</w:t>
      </w:r>
      <w:r w:rsidRPr="00DB433A">
        <w:rPr>
          <w:rStyle w:val="FootnoteReference"/>
          <w:lang w:val="en-NZ"/>
        </w:rPr>
        <w:footnoteReference w:id="4"/>
      </w:r>
      <w:r w:rsidRPr="00DB433A">
        <w:rPr>
          <w:lang w:val="en-NZ"/>
        </w:rPr>
        <w:t xml:space="preserve"> tend to employ more </w:t>
      </w:r>
      <w:r w:rsidR="003A6542">
        <w:rPr>
          <w:lang w:val="en-NZ"/>
        </w:rPr>
        <w:t>t</w:t>
      </w:r>
      <w:r w:rsidRPr="00DB433A">
        <w:rPr>
          <w:lang w:val="en-NZ"/>
        </w:rPr>
        <w:t xml:space="preserve">eacher </w:t>
      </w:r>
      <w:r w:rsidR="003A6542">
        <w:rPr>
          <w:lang w:val="en-NZ"/>
        </w:rPr>
        <w:t>a</w:t>
      </w:r>
      <w:r w:rsidRPr="00DB433A">
        <w:rPr>
          <w:lang w:val="en-NZ"/>
        </w:rPr>
        <w:t xml:space="preserve">ides and similar roles, proportionally, than larger schools. Schools with up to 120 students average </w:t>
      </w:r>
      <w:r w:rsidRPr="00DB433A">
        <w:rPr>
          <w:lang w:val="en-NZ"/>
        </w:rPr>
        <w:lastRenderedPageBreak/>
        <w:t xml:space="preserve">1 teacher support role per </w:t>
      </w:r>
      <w:r w:rsidR="003A6542">
        <w:rPr>
          <w:lang w:val="en-NZ"/>
        </w:rPr>
        <w:t>5.1</w:t>
      </w:r>
      <w:r w:rsidRPr="00DB433A">
        <w:rPr>
          <w:lang w:val="en-NZ"/>
        </w:rPr>
        <w:t xml:space="preserve"> teachers, whereas schools with more than 120 students average 1 teacher support role per </w:t>
      </w:r>
      <w:r w:rsidR="003A6542">
        <w:rPr>
          <w:lang w:val="en-NZ"/>
        </w:rPr>
        <w:t xml:space="preserve">8.5 </w:t>
      </w:r>
      <w:r w:rsidRPr="00DB433A">
        <w:rPr>
          <w:lang w:val="en-NZ"/>
        </w:rPr>
        <w:t>teachers.</w:t>
      </w:r>
    </w:p>
    <w:p w:rsidR="000D3A31" w:rsidRDefault="000D3A31" w:rsidP="000D3A31">
      <w:pPr>
        <w:rPr>
          <w:lang w:val="en-NZ"/>
        </w:rPr>
      </w:pPr>
      <w:r w:rsidRPr="00DB433A">
        <w:rPr>
          <w:lang w:val="en-NZ"/>
        </w:rPr>
        <w:t xml:space="preserve">Similarly, lower decile schools tend to employ more </w:t>
      </w:r>
      <w:r w:rsidR="003A6542">
        <w:rPr>
          <w:lang w:val="en-NZ"/>
        </w:rPr>
        <w:t>t</w:t>
      </w:r>
      <w:r w:rsidR="009B5291">
        <w:rPr>
          <w:lang w:val="en-NZ"/>
        </w:rPr>
        <w:t>eacher</w:t>
      </w:r>
      <w:r w:rsidRPr="00DB433A">
        <w:rPr>
          <w:lang w:val="en-NZ"/>
        </w:rPr>
        <w:t xml:space="preserve"> </w:t>
      </w:r>
      <w:r w:rsidR="003A6542">
        <w:rPr>
          <w:lang w:val="en-NZ"/>
        </w:rPr>
        <w:t>a</w:t>
      </w:r>
      <w:r w:rsidRPr="00DB433A">
        <w:rPr>
          <w:lang w:val="en-NZ"/>
        </w:rPr>
        <w:t>ides and similar roles, proportionally, than higher decile schools. The average number of teachers per teacher support role</w:t>
      </w:r>
      <w:r w:rsidR="003A6542">
        <w:rPr>
          <w:lang w:val="en-NZ"/>
        </w:rPr>
        <w:t xml:space="preserve"> </w:t>
      </w:r>
      <w:r w:rsidRPr="00DB433A">
        <w:rPr>
          <w:lang w:val="en-NZ"/>
        </w:rPr>
        <w:t>is:</w:t>
      </w:r>
    </w:p>
    <w:p w:rsidR="000D3A31" w:rsidRPr="00DB433A" w:rsidRDefault="000D3A31" w:rsidP="00F50CE1">
      <w:pPr>
        <w:pStyle w:val="ListParagraph"/>
        <w:numPr>
          <w:ilvl w:val="0"/>
          <w:numId w:val="21"/>
        </w:numPr>
        <w:rPr>
          <w:lang w:val="en-NZ"/>
        </w:rPr>
      </w:pPr>
      <w:r w:rsidRPr="00DB433A">
        <w:rPr>
          <w:lang w:val="en-NZ"/>
        </w:rPr>
        <w:t>5.15 teachers for decile 1 and 2 schools</w:t>
      </w:r>
    </w:p>
    <w:p w:rsidR="000D3A31" w:rsidRPr="00DB433A" w:rsidRDefault="000D3A31" w:rsidP="00F50CE1">
      <w:pPr>
        <w:pStyle w:val="ListParagraph"/>
        <w:numPr>
          <w:ilvl w:val="0"/>
          <w:numId w:val="21"/>
        </w:numPr>
        <w:rPr>
          <w:lang w:val="en-NZ"/>
        </w:rPr>
      </w:pPr>
      <w:r w:rsidRPr="00DB433A">
        <w:rPr>
          <w:lang w:val="en-NZ"/>
        </w:rPr>
        <w:t>7.44 teachers for schools with deciles 3 to 7</w:t>
      </w:r>
    </w:p>
    <w:p w:rsidR="000D3A31" w:rsidRPr="00DB433A" w:rsidRDefault="000D3A31" w:rsidP="00F50CE1">
      <w:pPr>
        <w:pStyle w:val="ListParagraph"/>
        <w:numPr>
          <w:ilvl w:val="0"/>
          <w:numId w:val="21"/>
        </w:numPr>
        <w:rPr>
          <w:lang w:val="en-NZ"/>
        </w:rPr>
      </w:pPr>
      <w:r w:rsidRPr="00DB433A">
        <w:rPr>
          <w:lang w:val="en-NZ"/>
        </w:rPr>
        <w:t>9.50 teachers for schools with deciles 8 to 10</w:t>
      </w:r>
    </w:p>
    <w:p w:rsidR="000D3A31" w:rsidRPr="00DB433A" w:rsidRDefault="000D3A31" w:rsidP="000D3A31">
      <w:pPr>
        <w:pStyle w:val="Heading1BlueNumbered"/>
        <w:numPr>
          <w:ilvl w:val="0"/>
          <w:numId w:val="0"/>
        </w:numPr>
        <w:ind w:left="851" w:hanging="851"/>
      </w:pPr>
      <w:r w:rsidRPr="00DB433A">
        <w:t>Relieving Teachers</w:t>
      </w:r>
    </w:p>
    <w:p w:rsidR="000D3A31" w:rsidRPr="00DB433A" w:rsidRDefault="000D3A31" w:rsidP="000D3A31">
      <w:pPr>
        <w:rPr>
          <w:lang w:val="en-NZ"/>
        </w:rPr>
      </w:pPr>
      <w:r w:rsidRPr="00DB433A">
        <w:rPr>
          <w:lang w:val="en-NZ"/>
        </w:rPr>
        <w:t>Smaller schools</w:t>
      </w:r>
      <w:r w:rsidRPr="00DB433A">
        <w:rPr>
          <w:rStyle w:val="FootnoteReference"/>
          <w:lang w:val="en-NZ"/>
        </w:rPr>
        <w:footnoteReference w:id="5"/>
      </w:r>
      <w:r w:rsidRPr="00DB433A">
        <w:rPr>
          <w:lang w:val="en-NZ"/>
        </w:rPr>
        <w:t xml:space="preserve"> tend to employ more Relieving </w:t>
      </w:r>
      <w:r w:rsidR="009B5291">
        <w:rPr>
          <w:lang w:val="en-NZ"/>
        </w:rPr>
        <w:t>Teacher</w:t>
      </w:r>
      <w:r w:rsidRPr="00DB433A">
        <w:rPr>
          <w:lang w:val="en-NZ"/>
        </w:rPr>
        <w:t xml:space="preserve">s, proportionally, than larger schools. The average number of teachers per Relieving </w:t>
      </w:r>
      <w:r w:rsidR="009B5291">
        <w:rPr>
          <w:lang w:val="en-NZ"/>
        </w:rPr>
        <w:t>Teacher</w:t>
      </w:r>
      <w:r w:rsidRPr="00DB433A">
        <w:rPr>
          <w:lang w:val="en-NZ"/>
        </w:rPr>
        <w:t xml:space="preserve"> (on an FTE basis) is:</w:t>
      </w:r>
    </w:p>
    <w:p w:rsidR="000D3A31" w:rsidRPr="00DB433A" w:rsidRDefault="000D3A31" w:rsidP="00F50CE1">
      <w:pPr>
        <w:pStyle w:val="ListParagraph"/>
        <w:numPr>
          <w:ilvl w:val="0"/>
          <w:numId w:val="21"/>
        </w:numPr>
        <w:rPr>
          <w:lang w:val="en-NZ"/>
        </w:rPr>
      </w:pPr>
      <w:r w:rsidRPr="00DB433A">
        <w:rPr>
          <w:lang w:val="en-NZ"/>
        </w:rPr>
        <w:t xml:space="preserve">14.81 </w:t>
      </w:r>
      <w:r w:rsidR="009B5291">
        <w:rPr>
          <w:lang w:val="en-NZ"/>
        </w:rPr>
        <w:t>teacher</w:t>
      </w:r>
      <w:r w:rsidRPr="00DB433A">
        <w:rPr>
          <w:lang w:val="en-NZ"/>
        </w:rPr>
        <w:t>s for schools with up to 160 students</w:t>
      </w:r>
    </w:p>
    <w:p w:rsidR="000D3A31" w:rsidRPr="00DB433A" w:rsidRDefault="000D3A31" w:rsidP="00F50CE1">
      <w:pPr>
        <w:pStyle w:val="ListParagraph"/>
        <w:numPr>
          <w:ilvl w:val="0"/>
          <w:numId w:val="21"/>
        </w:numPr>
        <w:rPr>
          <w:lang w:val="en-NZ"/>
        </w:rPr>
      </w:pPr>
      <w:r w:rsidRPr="00DB433A">
        <w:rPr>
          <w:lang w:val="en-NZ"/>
        </w:rPr>
        <w:t>17.97 teachers for schools with 161 to 750 students</w:t>
      </w:r>
    </w:p>
    <w:p w:rsidR="000D3A31" w:rsidRPr="00DB433A" w:rsidRDefault="000D3A31" w:rsidP="00F50CE1">
      <w:pPr>
        <w:pStyle w:val="ListParagraph"/>
        <w:numPr>
          <w:ilvl w:val="0"/>
          <w:numId w:val="21"/>
        </w:numPr>
        <w:rPr>
          <w:lang w:val="en-NZ"/>
        </w:rPr>
      </w:pPr>
      <w:r w:rsidRPr="00DB433A">
        <w:rPr>
          <w:lang w:val="en-NZ"/>
        </w:rPr>
        <w:t>24.15 teachers for schools with more than 750 students</w:t>
      </w:r>
    </w:p>
    <w:p w:rsidR="000D3A31" w:rsidRPr="00DB433A" w:rsidRDefault="000D3A31" w:rsidP="000D3A31">
      <w:pPr>
        <w:rPr>
          <w:lang w:val="en-NZ"/>
        </w:rPr>
      </w:pPr>
      <w:r w:rsidRPr="00DB433A">
        <w:rPr>
          <w:lang w:val="en-NZ"/>
        </w:rPr>
        <w:t>The average ratio across all these schools is 18.98 teachers per Relieving Teacher.</w:t>
      </w:r>
    </w:p>
    <w:p w:rsidR="000D3A31" w:rsidRPr="00DB433A" w:rsidRDefault="000D3A31" w:rsidP="000D3A31">
      <w:pPr>
        <w:rPr>
          <w:lang w:val="en-NZ"/>
        </w:rPr>
      </w:pPr>
      <w:r w:rsidRPr="00DB433A">
        <w:rPr>
          <w:lang w:val="en-NZ"/>
        </w:rPr>
        <w:t>While the decile 1 and 2 schools have slightly higher use of Relieving Teachers than the overall average (ratio of 17.49 cf 18.98 on average), this is due to a greater proportion of lower decile schools being small. Taking school size and deciles into account, higher decile schools tend to employ slightly more Relieving Teachers than lower decile schools, though the trend is not significant.</w:t>
      </w:r>
    </w:p>
    <w:p w:rsidR="000D3A31" w:rsidRPr="00DB433A" w:rsidRDefault="000D3A31" w:rsidP="000D3A31">
      <w:pPr>
        <w:pStyle w:val="Sectionintro"/>
        <w:rPr>
          <w:lang w:val="en-NZ"/>
        </w:rPr>
      </w:pPr>
      <w:r w:rsidRPr="00DB433A">
        <w:rPr>
          <w:lang w:val="en-NZ"/>
        </w:rPr>
        <w:t>Overview of our dataset</w:t>
      </w:r>
    </w:p>
    <w:p w:rsidR="000D3A31" w:rsidRPr="00DB433A" w:rsidRDefault="000D3A31" w:rsidP="000D3A31">
      <w:pPr>
        <w:rPr>
          <w:lang w:val="en-NZ"/>
        </w:rPr>
      </w:pPr>
      <w:r w:rsidRPr="00DB433A">
        <w:rPr>
          <w:lang w:val="en-NZ"/>
        </w:rPr>
        <w:t xml:space="preserve">We were provided with a dataset from the </w:t>
      </w:r>
      <w:r w:rsidR="00154D8E">
        <w:rPr>
          <w:lang w:val="en-NZ"/>
        </w:rPr>
        <w:t>s</w:t>
      </w:r>
      <w:r w:rsidRPr="00DB433A">
        <w:rPr>
          <w:lang w:val="en-NZ"/>
        </w:rPr>
        <w:t xml:space="preserve">chools’ </w:t>
      </w:r>
      <w:r w:rsidR="00154D8E">
        <w:rPr>
          <w:lang w:val="en-NZ"/>
        </w:rPr>
        <w:t>p</w:t>
      </w:r>
      <w:r w:rsidRPr="00DB433A">
        <w:rPr>
          <w:lang w:val="en-NZ"/>
        </w:rPr>
        <w:t>ayroll system for the 2015 calendar year</w:t>
      </w:r>
      <w:r w:rsidR="00834975">
        <w:rPr>
          <w:lang w:val="en-NZ"/>
        </w:rPr>
        <w:t>, comprising around 2,400 school</w:t>
      </w:r>
      <w:r w:rsidR="00C84D0C">
        <w:rPr>
          <w:lang w:val="en-NZ"/>
        </w:rPr>
        <w:t>s. We have excluded the Correspondence School from the analysis</w:t>
      </w:r>
      <w:r w:rsidRPr="00DB433A">
        <w:rPr>
          <w:lang w:val="en-NZ"/>
        </w:rPr>
        <w:t>.</w:t>
      </w:r>
      <w:r w:rsidR="00C84D0C">
        <w:rPr>
          <w:lang w:val="en-NZ"/>
        </w:rPr>
        <w:t xml:space="preserve"> </w:t>
      </w:r>
      <w:r w:rsidRPr="00DB433A">
        <w:rPr>
          <w:lang w:val="en-NZ"/>
        </w:rPr>
        <w:t>Note the totals will differ somewhat from accounting information and / or other sources because of timing differences or completeness, but nonetheless provide a sound basis for analysing the education workforce in 2015. We used this dataset to classify staff in teaching-related roles as follows:</w:t>
      </w:r>
    </w:p>
    <w:tbl>
      <w:tblPr>
        <w:tblStyle w:val="TableGrid"/>
        <w:tblW w:w="0" w:type="auto"/>
        <w:tblLook w:val="04A0"/>
      </w:tblPr>
      <w:tblGrid>
        <w:gridCol w:w="6945"/>
      </w:tblGrid>
      <w:tr w:rsidR="000D3A31" w:rsidRPr="00DB433A" w:rsidTr="008969FF">
        <w:trPr>
          <w:cnfStyle w:val="100000000000"/>
        </w:trPr>
        <w:tc>
          <w:tcPr>
            <w:tcW w:w="6945" w:type="dxa"/>
          </w:tcPr>
          <w:p w:rsidR="000D3A31" w:rsidRPr="00DB433A" w:rsidRDefault="00DC63EE" w:rsidP="00B53AB9">
            <w:pPr>
              <w:rPr>
                <w:lang w:val="en-NZ"/>
              </w:rPr>
            </w:pPr>
            <w:r>
              <w:rPr>
                <w:noProof/>
                <w:lang w:val="en-NZ" w:eastAsia="en-NZ"/>
              </w:rPr>
              <w:drawing>
                <wp:inline distT="0" distB="0" distL="0" distR="0">
                  <wp:extent cx="4408170" cy="1958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8170" cy="1958340"/>
                          </a:xfrm>
                          <a:prstGeom prst="rect">
                            <a:avLst/>
                          </a:prstGeom>
                          <a:noFill/>
                          <a:ln>
                            <a:noFill/>
                          </a:ln>
                        </pic:spPr>
                      </pic:pic>
                    </a:graphicData>
                  </a:graphic>
                </wp:inline>
              </w:drawing>
            </w:r>
          </w:p>
        </w:tc>
      </w:tr>
    </w:tbl>
    <w:p w:rsidR="008969FF" w:rsidRDefault="008969FF" w:rsidP="008969FF">
      <w:pPr>
        <w:rPr>
          <w:lang w:val="en-NZ"/>
        </w:rPr>
      </w:pPr>
      <w:r w:rsidRPr="00DB433A">
        <w:rPr>
          <w:lang w:val="en-NZ"/>
        </w:rPr>
        <w:lastRenderedPageBreak/>
        <w:t xml:space="preserve">In the remainder of this section, we have aggregated permanent and fixed term </w:t>
      </w:r>
      <w:r>
        <w:rPr>
          <w:lang w:val="en-NZ"/>
        </w:rPr>
        <w:t>teachers as “Regular Teachers”.</w:t>
      </w:r>
    </w:p>
    <w:p w:rsidR="001E3F45" w:rsidRPr="00DB433A" w:rsidRDefault="001E3F45" w:rsidP="001E3F45">
      <w:pPr>
        <w:pStyle w:val="Heading1BlueNumbered"/>
        <w:numPr>
          <w:ilvl w:val="0"/>
          <w:numId w:val="0"/>
        </w:numPr>
        <w:ind w:left="851" w:hanging="851"/>
      </w:pPr>
      <w:r>
        <w:t>How teachers are funded</w:t>
      </w:r>
    </w:p>
    <w:p w:rsidR="001E3F45" w:rsidRDefault="00F60CC0" w:rsidP="008969FF">
      <w:pPr>
        <w:rPr>
          <w:lang w:val="en-NZ"/>
        </w:rPr>
      </w:pPr>
      <w:r w:rsidRPr="00F60CC0">
        <w:rPr>
          <w:lang w:val="en-NZ"/>
        </w:rPr>
        <w:t>The Ministry provides an FTTE entitlement for teachers to all schools, based on school type, roll size and composit</w:t>
      </w:r>
      <w:r>
        <w:rPr>
          <w:lang w:val="en-NZ"/>
        </w:rPr>
        <w:t>i</w:t>
      </w:r>
      <w:r w:rsidRPr="00F60CC0">
        <w:rPr>
          <w:lang w:val="en-NZ"/>
        </w:rPr>
        <w:t>on, and whether teaching is Maori Immersion. Funding is also separately provided in the operational grant to meet the cost of relief teachers.</w:t>
      </w:r>
    </w:p>
    <w:p w:rsidR="00F60CC0" w:rsidRPr="00DB433A" w:rsidRDefault="00F60CC0" w:rsidP="00F60CC0">
      <w:pPr>
        <w:pStyle w:val="Heading1BlueNumbered"/>
        <w:numPr>
          <w:ilvl w:val="0"/>
          <w:numId w:val="0"/>
        </w:numPr>
        <w:ind w:left="851" w:hanging="851"/>
      </w:pPr>
      <w:r>
        <w:t>Sources of funding used for teachers</w:t>
      </w:r>
    </w:p>
    <w:p w:rsidR="000D3A31" w:rsidRDefault="000D3A31" w:rsidP="008969FF">
      <w:pPr>
        <w:rPr>
          <w:lang w:val="en-NZ"/>
        </w:rPr>
      </w:pPr>
      <w:r w:rsidRPr="00DB433A">
        <w:rPr>
          <w:lang w:val="en-NZ"/>
        </w:rPr>
        <w:t>The following table shows the breakdown of these roles across funding sources in the payroll system.</w:t>
      </w:r>
    </w:p>
    <w:tbl>
      <w:tblPr>
        <w:tblW w:w="7840" w:type="dxa"/>
        <w:tblInd w:w="93" w:type="dxa"/>
        <w:tblLook w:val="04A0"/>
      </w:tblPr>
      <w:tblGrid>
        <w:gridCol w:w="2160"/>
        <w:gridCol w:w="1420"/>
        <w:gridCol w:w="1420"/>
        <w:gridCol w:w="1420"/>
        <w:gridCol w:w="1420"/>
      </w:tblGrid>
      <w:tr w:rsidR="0075780E" w:rsidRPr="0075780E" w:rsidTr="0075780E">
        <w:trPr>
          <w:trHeight w:val="465"/>
        </w:trPr>
        <w:tc>
          <w:tcPr>
            <w:tcW w:w="2160" w:type="dxa"/>
            <w:tcBorders>
              <w:top w:val="single" w:sz="8" w:space="0" w:color="86BC25"/>
              <w:left w:val="single" w:sz="8" w:space="0" w:color="86BC25"/>
              <w:bottom w:val="nil"/>
              <w:right w:val="nil"/>
            </w:tcBorders>
            <w:shd w:val="clear" w:color="000000" w:fill="86BC25"/>
            <w:vAlign w:val="center"/>
            <w:hideMark/>
          </w:tcPr>
          <w:p w:rsidR="0075780E" w:rsidRPr="0075780E" w:rsidRDefault="0075780E" w:rsidP="0075780E">
            <w:pPr>
              <w:spacing w:after="0" w:line="240" w:lineRule="auto"/>
              <w:rPr>
                <w:rFonts w:ascii="Verdana" w:eastAsia="Times New Roman" w:hAnsi="Verdana" w:cs="Arial"/>
                <w:b/>
                <w:bCs/>
                <w:color w:val="FFFFFF"/>
                <w:szCs w:val="18"/>
                <w:lang w:val="en-NZ" w:eastAsia="en-NZ"/>
              </w:rPr>
            </w:pPr>
            <w:r w:rsidRPr="0075780E">
              <w:rPr>
                <w:rFonts w:ascii="Verdana" w:eastAsia="Times New Roman" w:hAnsi="Verdana" w:cs="Arial"/>
                <w:b/>
                <w:bCs/>
                <w:color w:val="FFFFFF" w:themeColor="background1"/>
                <w:szCs w:val="18"/>
                <w:lang w:val="en-NZ" w:eastAsia="en-NZ"/>
              </w:rPr>
              <w:t> </w:t>
            </w:r>
          </w:p>
        </w:tc>
        <w:tc>
          <w:tcPr>
            <w:tcW w:w="1420" w:type="dxa"/>
            <w:tcBorders>
              <w:top w:val="single" w:sz="8" w:space="0" w:color="86BC25"/>
              <w:left w:val="nil"/>
              <w:bottom w:val="nil"/>
              <w:right w:val="nil"/>
            </w:tcBorders>
            <w:shd w:val="clear" w:color="000000" w:fill="86BC25"/>
            <w:vAlign w:val="center"/>
            <w:hideMark/>
          </w:tcPr>
          <w:p w:rsidR="0075780E" w:rsidRPr="0075780E" w:rsidRDefault="0075780E" w:rsidP="0075780E">
            <w:pPr>
              <w:spacing w:after="0" w:line="240" w:lineRule="auto"/>
              <w:jc w:val="center"/>
              <w:rPr>
                <w:rFonts w:ascii="Verdana" w:eastAsia="Times New Roman" w:hAnsi="Verdana" w:cs="Arial"/>
                <w:b/>
                <w:bCs/>
                <w:color w:val="FFFFFF"/>
                <w:szCs w:val="18"/>
                <w:lang w:val="en-NZ" w:eastAsia="en-NZ"/>
              </w:rPr>
            </w:pPr>
            <w:r w:rsidRPr="0075780E">
              <w:rPr>
                <w:rFonts w:ascii="Verdana" w:eastAsia="Times New Roman" w:hAnsi="Verdana" w:cs="Arial"/>
                <w:b/>
                <w:bCs/>
                <w:color w:val="FFFFFF" w:themeColor="background1"/>
                <w:szCs w:val="18"/>
                <w:lang w:val="en-NZ" w:eastAsia="en-NZ"/>
              </w:rPr>
              <w:t>FTTE Entitlement</w:t>
            </w:r>
          </w:p>
        </w:tc>
        <w:tc>
          <w:tcPr>
            <w:tcW w:w="1420" w:type="dxa"/>
            <w:tcBorders>
              <w:top w:val="single" w:sz="8" w:space="0" w:color="86BC25"/>
              <w:left w:val="nil"/>
              <w:bottom w:val="nil"/>
              <w:right w:val="nil"/>
            </w:tcBorders>
            <w:shd w:val="clear" w:color="000000" w:fill="86BC25"/>
            <w:vAlign w:val="center"/>
            <w:hideMark/>
          </w:tcPr>
          <w:p w:rsidR="0075780E" w:rsidRPr="0075780E" w:rsidRDefault="0075780E" w:rsidP="0075780E">
            <w:pPr>
              <w:spacing w:after="0" w:line="240" w:lineRule="auto"/>
              <w:jc w:val="center"/>
              <w:rPr>
                <w:rFonts w:ascii="Verdana" w:eastAsia="Times New Roman" w:hAnsi="Verdana" w:cs="Arial"/>
                <w:b/>
                <w:bCs/>
                <w:color w:val="FFFFFF"/>
                <w:szCs w:val="18"/>
                <w:lang w:val="en-NZ" w:eastAsia="en-NZ"/>
              </w:rPr>
            </w:pPr>
            <w:r w:rsidRPr="0075780E">
              <w:rPr>
                <w:rFonts w:ascii="Verdana" w:eastAsia="Times New Roman" w:hAnsi="Verdana" w:cs="Arial"/>
                <w:b/>
                <w:bCs/>
                <w:color w:val="FFFFFF" w:themeColor="background1"/>
                <w:szCs w:val="18"/>
                <w:lang w:val="en-NZ" w:eastAsia="en-NZ"/>
              </w:rPr>
              <w:t>Bulk Grant</w:t>
            </w:r>
          </w:p>
        </w:tc>
        <w:tc>
          <w:tcPr>
            <w:tcW w:w="1420" w:type="dxa"/>
            <w:tcBorders>
              <w:top w:val="single" w:sz="8" w:space="0" w:color="86BC25"/>
              <w:left w:val="nil"/>
              <w:bottom w:val="nil"/>
              <w:right w:val="single" w:sz="8" w:space="0" w:color="86BC25"/>
            </w:tcBorders>
            <w:shd w:val="clear" w:color="000000" w:fill="86BC25"/>
            <w:vAlign w:val="center"/>
            <w:hideMark/>
          </w:tcPr>
          <w:p w:rsidR="0075780E" w:rsidRPr="0075780E" w:rsidRDefault="0075780E" w:rsidP="0075780E">
            <w:pPr>
              <w:spacing w:after="0" w:line="240" w:lineRule="auto"/>
              <w:jc w:val="center"/>
              <w:rPr>
                <w:rFonts w:ascii="Verdana" w:eastAsia="Times New Roman" w:hAnsi="Verdana" w:cs="Arial"/>
                <w:b/>
                <w:bCs/>
                <w:color w:val="FFFFFF"/>
                <w:szCs w:val="18"/>
                <w:lang w:val="en-NZ" w:eastAsia="en-NZ"/>
              </w:rPr>
            </w:pPr>
            <w:r w:rsidRPr="0075780E">
              <w:rPr>
                <w:rFonts w:ascii="Verdana" w:eastAsia="Times New Roman" w:hAnsi="Verdana" w:cs="Arial"/>
                <w:b/>
                <w:bCs/>
                <w:color w:val="FFFFFF" w:themeColor="background1"/>
                <w:szCs w:val="18"/>
                <w:lang w:val="en-NZ" w:eastAsia="en-NZ"/>
              </w:rPr>
              <w:t>Other</w:t>
            </w:r>
          </w:p>
        </w:tc>
        <w:tc>
          <w:tcPr>
            <w:tcW w:w="1420" w:type="dxa"/>
            <w:tcBorders>
              <w:top w:val="single" w:sz="8" w:space="0" w:color="86BC25"/>
              <w:left w:val="nil"/>
              <w:bottom w:val="nil"/>
              <w:right w:val="single" w:sz="8" w:space="0" w:color="86BC25"/>
            </w:tcBorders>
            <w:shd w:val="clear" w:color="000000" w:fill="86BC25"/>
            <w:vAlign w:val="center"/>
            <w:hideMark/>
          </w:tcPr>
          <w:p w:rsidR="0075780E" w:rsidRPr="0075780E" w:rsidRDefault="0075780E" w:rsidP="0075780E">
            <w:pPr>
              <w:spacing w:after="0" w:line="240" w:lineRule="auto"/>
              <w:jc w:val="center"/>
              <w:rPr>
                <w:rFonts w:ascii="Verdana" w:eastAsia="Times New Roman" w:hAnsi="Verdana" w:cs="Arial"/>
                <w:b/>
                <w:bCs/>
                <w:color w:val="FFFFFF"/>
                <w:szCs w:val="18"/>
                <w:lang w:val="en-NZ" w:eastAsia="en-NZ"/>
              </w:rPr>
            </w:pPr>
            <w:r w:rsidRPr="0075780E">
              <w:rPr>
                <w:rFonts w:ascii="Verdana" w:eastAsia="Times New Roman" w:hAnsi="Verdana" w:cs="Arial"/>
                <w:b/>
                <w:bCs/>
                <w:color w:val="FFFFFF" w:themeColor="background1"/>
                <w:szCs w:val="18"/>
                <w:lang w:val="en-NZ" w:eastAsia="en-NZ"/>
              </w:rPr>
              <w:t>Total</w:t>
            </w:r>
          </w:p>
        </w:tc>
      </w:tr>
      <w:tr w:rsidR="0075780E" w:rsidRPr="0075780E" w:rsidTr="0075780E">
        <w:trPr>
          <w:trHeight w:val="315"/>
        </w:trPr>
        <w:tc>
          <w:tcPr>
            <w:tcW w:w="2160" w:type="dxa"/>
            <w:tcBorders>
              <w:top w:val="single" w:sz="8" w:space="0" w:color="86BC25"/>
              <w:left w:val="single" w:sz="8" w:space="0" w:color="86BC25"/>
              <w:bottom w:val="single" w:sz="8" w:space="0" w:color="86BC25"/>
              <w:right w:val="nil"/>
            </w:tcBorders>
            <w:shd w:val="clear" w:color="auto" w:fill="auto"/>
            <w:vAlign w:val="center"/>
            <w:hideMark/>
          </w:tcPr>
          <w:p w:rsidR="0075780E" w:rsidRPr="0075780E" w:rsidRDefault="0075780E" w:rsidP="0075780E">
            <w:pPr>
              <w:spacing w:after="0" w:line="240" w:lineRule="auto"/>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Teaching Support</w:t>
            </w:r>
          </w:p>
        </w:tc>
        <w:tc>
          <w:tcPr>
            <w:tcW w:w="1420" w:type="dxa"/>
            <w:tcBorders>
              <w:top w:val="single" w:sz="8" w:space="0" w:color="86BC25"/>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color w:val="000000"/>
                <w:szCs w:val="18"/>
                <w:lang w:val="en-NZ" w:eastAsia="en-NZ"/>
              </w:rPr>
            </w:pPr>
            <w:r w:rsidRPr="0075780E">
              <w:rPr>
                <w:rFonts w:ascii="Verdana" w:eastAsia="Times New Roman" w:hAnsi="Verdana" w:cs="Arial"/>
                <w:color w:val="000000"/>
                <w:szCs w:val="18"/>
                <w:lang w:val="en-NZ" w:eastAsia="en-NZ"/>
              </w:rPr>
              <w:t xml:space="preserve"> 2 FTE </w:t>
            </w:r>
          </w:p>
        </w:tc>
        <w:tc>
          <w:tcPr>
            <w:tcW w:w="1420" w:type="dxa"/>
            <w:tcBorders>
              <w:top w:val="single" w:sz="8" w:space="0" w:color="86BC25"/>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color w:val="000000"/>
                <w:szCs w:val="18"/>
                <w:lang w:val="en-NZ" w:eastAsia="en-NZ"/>
              </w:rPr>
            </w:pPr>
            <w:r w:rsidRPr="0075780E">
              <w:rPr>
                <w:rFonts w:ascii="Verdana" w:eastAsia="Times New Roman" w:hAnsi="Verdana" w:cs="Arial"/>
                <w:color w:val="000000"/>
                <w:szCs w:val="18"/>
                <w:lang w:val="en-NZ" w:eastAsia="en-NZ"/>
              </w:rPr>
              <w:t xml:space="preserve"> 7</w:t>
            </w:r>
            <w:r w:rsidR="00F60CC0">
              <w:rPr>
                <w:rFonts w:ascii="Verdana" w:eastAsia="Times New Roman" w:hAnsi="Verdana" w:cs="Arial"/>
                <w:color w:val="000000"/>
                <w:szCs w:val="18"/>
                <w:lang w:val="en-NZ" w:eastAsia="en-NZ"/>
              </w:rPr>
              <w:t>,</w:t>
            </w:r>
            <w:r w:rsidRPr="0075780E">
              <w:rPr>
                <w:rFonts w:ascii="Verdana" w:eastAsia="Times New Roman" w:hAnsi="Verdana" w:cs="Arial"/>
                <w:color w:val="000000"/>
                <w:szCs w:val="18"/>
                <w:lang w:val="en-NZ" w:eastAsia="en-NZ"/>
              </w:rPr>
              <w:t xml:space="preserve">034 FTE </w:t>
            </w:r>
          </w:p>
        </w:tc>
        <w:tc>
          <w:tcPr>
            <w:tcW w:w="1420" w:type="dxa"/>
            <w:tcBorders>
              <w:top w:val="single" w:sz="8" w:space="0" w:color="86BC25"/>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color w:val="000000"/>
                <w:szCs w:val="18"/>
                <w:lang w:val="en-NZ" w:eastAsia="en-NZ"/>
              </w:rPr>
            </w:pPr>
            <w:r w:rsidRPr="0075780E">
              <w:rPr>
                <w:rFonts w:ascii="Verdana" w:eastAsia="Times New Roman" w:hAnsi="Verdana" w:cs="Arial"/>
                <w:color w:val="000000"/>
                <w:szCs w:val="18"/>
                <w:lang w:val="en-NZ" w:eastAsia="en-NZ"/>
              </w:rPr>
              <w:t xml:space="preserve"> 39 FTE </w:t>
            </w:r>
          </w:p>
        </w:tc>
        <w:tc>
          <w:tcPr>
            <w:tcW w:w="1420" w:type="dxa"/>
            <w:tcBorders>
              <w:top w:val="single" w:sz="8" w:space="0" w:color="86BC25"/>
              <w:left w:val="nil"/>
              <w:bottom w:val="single" w:sz="8" w:space="0" w:color="86BC25"/>
              <w:right w:val="single" w:sz="8" w:space="0" w:color="86BC25"/>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 xml:space="preserve"> 7</w:t>
            </w:r>
            <w:r w:rsidR="00F60CC0">
              <w:rPr>
                <w:rFonts w:ascii="Verdana" w:eastAsia="Times New Roman" w:hAnsi="Verdana" w:cs="Arial"/>
                <w:b/>
                <w:bCs/>
                <w:color w:val="000000"/>
                <w:szCs w:val="18"/>
                <w:lang w:val="en-NZ" w:eastAsia="en-NZ"/>
              </w:rPr>
              <w:t>,</w:t>
            </w:r>
            <w:r w:rsidRPr="0075780E">
              <w:rPr>
                <w:rFonts w:ascii="Verdana" w:eastAsia="Times New Roman" w:hAnsi="Verdana" w:cs="Arial"/>
                <w:b/>
                <w:bCs/>
                <w:color w:val="000000"/>
                <w:szCs w:val="18"/>
                <w:lang w:val="en-NZ" w:eastAsia="en-NZ"/>
              </w:rPr>
              <w:t xml:space="preserve">074 FTE </w:t>
            </w:r>
          </w:p>
        </w:tc>
      </w:tr>
      <w:tr w:rsidR="0075780E" w:rsidRPr="0075780E" w:rsidTr="0075780E">
        <w:trPr>
          <w:trHeight w:val="315"/>
        </w:trPr>
        <w:tc>
          <w:tcPr>
            <w:tcW w:w="2160" w:type="dxa"/>
            <w:tcBorders>
              <w:top w:val="nil"/>
              <w:left w:val="single" w:sz="8" w:space="0" w:color="86BC25"/>
              <w:bottom w:val="nil"/>
              <w:right w:val="nil"/>
            </w:tcBorders>
            <w:shd w:val="clear" w:color="auto" w:fill="auto"/>
            <w:vAlign w:val="center"/>
            <w:hideMark/>
          </w:tcPr>
          <w:p w:rsidR="0075780E" w:rsidRPr="0075780E" w:rsidRDefault="0075780E" w:rsidP="0075780E">
            <w:pPr>
              <w:spacing w:after="0" w:line="240" w:lineRule="auto"/>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Regular Teachers</w:t>
            </w:r>
          </w:p>
        </w:tc>
        <w:tc>
          <w:tcPr>
            <w:tcW w:w="1420" w:type="dxa"/>
            <w:tcBorders>
              <w:top w:val="nil"/>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color w:val="000000"/>
                <w:szCs w:val="18"/>
                <w:lang w:val="en-NZ" w:eastAsia="en-NZ"/>
              </w:rPr>
            </w:pPr>
            <w:r w:rsidRPr="0075780E">
              <w:rPr>
                <w:rFonts w:ascii="Verdana" w:eastAsia="Times New Roman" w:hAnsi="Verdana" w:cs="Arial"/>
                <w:color w:val="000000"/>
                <w:szCs w:val="18"/>
                <w:lang w:val="en-NZ" w:eastAsia="en-NZ"/>
              </w:rPr>
              <w:t xml:space="preserve"> 43</w:t>
            </w:r>
            <w:r w:rsidR="00F60CC0">
              <w:rPr>
                <w:rFonts w:ascii="Verdana" w:eastAsia="Times New Roman" w:hAnsi="Verdana" w:cs="Arial"/>
                <w:color w:val="000000"/>
                <w:szCs w:val="18"/>
                <w:lang w:val="en-NZ" w:eastAsia="en-NZ"/>
              </w:rPr>
              <w:t>,</w:t>
            </w:r>
            <w:r w:rsidRPr="0075780E">
              <w:rPr>
                <w:rFonts w:ascii="Verdana" w:eastAsia="Times New Roman" w:hAnsi="Verdana" w:cs="Arial"/>
                <w:color w:val="000000"/>
                <w:szCs w:val="18"/>
                <w:lang w:val="en-NZ" w:eastAsia="en-NZ"/>
              </w:rPr>
              <w:t xml:space="preserve">669 FTE </w:t>
            </w:r>
          </w:p>
        </w:tc>
        <w:tc>
          <w:tcPr>
            <w:tcW w:w="1420" w:type="dxa"/>
            <w:tcBorders>
              <w:top w:val="nil"/>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color w:val="000000"/>
                <w:szCs w:val="18"/>
                <w:lang w:val="en-NZ" w:eastAsia="en-NZ"/>
              </w:rPr>
            </w:pPr>
            <w:r w:rsidRPr="0075780E">
              <w:rPr>
                <w:rFonts w:ascii="Verdana" w:eastAsia="Times New Roman" w:hAnsi="Verdana" w:cs="Arial"/>
                <w:color w:val="000000"/>
                <w:szCs w:val="18"/>
                <w:lang w:val="en-NZ" w:eastAsia="en-NZ"/>
              </w:rPr>
              <w:t xml:space="preserve"> 2</w:t>
            </w:r>
            <w:r w:rsidR="00F60CC0">
              <w:rPr>
                <w:rFonts w:ascii="Verdana" w:eastAsia="Times New Roman" w:hAnsi="Verdana" w:cs="Arial"/>
                <w:color w:val="000000"/>
                <w:szCs w:val="18"/>
                <w:lang w:val="en-NZ" w:eastAsia="en-NZ"/>
              </w:rPr>
              <w:t>,</w:t>
            </w:r>
            <w:r w:rsidRPr="0075780E">
              <w:rPr>
                <w:rFonts w:ascii="Verdana" w:eastAsia="Times New Roman" w:hAnsi="Verdana" w:cs="Arial"/>
                <w:color w:val="000000"/>
                <w:szCs w:val="18"/>
                <w:lang w:val="en-NZ" w:eastAsia="en-NZ"/>
              </w:rPr>
              <w:t xml:space="preserve">209 FTE </w:t>
            </w:r>
          </w:p>
        </w:tc>
        <w:tc>
          <w:tcPr>
            <w:tcW w:w="1420" w:type="dxa"/>
            <w:tcBorders>
              <w:top w:val="nil"/>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color w:val="000000"/>
                <w:szCs w:val="18"/>
                <w:lang w:val="en-NZ" w:eastAsia="en-NZ"/>
              </w:rPr>
            </w:pPr>
            <w:r w:rsidRPr="0075780E">
              <w:rPr>
                <w:rFonts w:ascii="Verdana" w:eastAsia="Times New Roman" w:hAnsi="Verdana" w:cs="Arial"/>
                <w:color w:val="000000"/>
                <w:szCs w:val="18"/>
                <w:lang w:val="en-NZ" w:eastAsia="en-NZ"/>
              </w:rPr>
              <w:t xml:space="preserve"> 196 FTE </w:t>
            </w:r>
          </w:p>
        </w:tc>
        <w:tc>
          <w:tcPr>
            <w:tcW w:w="1420" w:type="dxa"/>
            <w:tcBorders>
              <w:top w:val="nil"/>
              <w:left w:val="nil"/>
              <w:bottom w:val="nil"/>
              <w:right w:val="single" w:sz="8" w:space="0" w:color="86BC25"/>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 xml:space="preserve"> 46</w:t>
            </w:r>
            <w:r w:rsidR="00F60CC0">
              <w:rPr>
                <w:rFonts w:ascii="Verdana" w:eastAsia="Times New Roman" w:hAnsi="Verdana" w:cs="Arial"/>
                <w:b/>
                <w:bCs/>
                <w:color w:val="000000"/>
                <w:szCs w:val="18"/>
                <w:lang w:val="en-NZ" w:eastAsia="en-NZ"/>
              </w:rPr>
              <w:t>,</w:t>
            </w:r>
            <w:r w:rsidRPr="0075780E">
              <w:rPr>
                <w:rFonts w:ascii="Verdana" w:eastAsia="Times New Roman" w:hAnsi="Verdana" w:cs="Arial"/>
                <w:b/>
                <w:bCs/>
                <w:color w:val="000000"/>
                <w:szCs w:val="18"/>
                <w:lang w:val="en-NZ" w:eastAsia="en-NZ"/>
              </w:rPr>
              <w:t xml:space="preserve">074 FTE </w:t>
            </w:r>
          </w:p>
        </w:tc>
      </w:tr>
      <w:tr w:rsidR="0075780E" w:rsidRPr="0075780E" w:rsidTr="0075780E">
        <w:trPr>
          <w:trHeight w:val="315"/>
        </w:trPr>
        <w:tc>
          <w:tcPr>
            <w:tcW w:w="2160" w:type="dxa"/>
            <w:tcBorders>
              <w:top w:val="single" w:sz="8" w:space="0" w:color="86BC25"/>
              <w:left w:val="single" w:sz="8" w:space="0" w:color="86BC25"/>
              <w:bottom w:val="single" w:sz="8" w:space="0" w:color="86BC25"/>
              <w:right w:val="nil"/>
            </w:tcBorders>
            <w:shd w:val="clear" w:color="auto" w:fill="auto"/>
            <w:vAlign w:val="center"/>
            <w:hideMark/>
          </w:tcPr>
          <w:p w:rsidR="0075780E" w:rsidRPr="0075780E" w:rsidRDefault="0075780E" w:rsidP="0075780E">
            <w:pPr>
              <w:spacing w:after="0" w:line="240" w:lineRule="auto"/>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Relievers</w:t>
            </w:r>
          </w:p>
        </w:tc>
        <w:tc>
          <w:tcPr>
            <w:tcW w:w="1420" w:type="dxa"/>
            <w:tcBorders>
              <w:top w:val="nil"/>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color w:val="000000"/>
                <w:szCs w:val="18"/>
                <w:lang w:val="en-NZ" w:eastAsia="en-NZ"/>
              </w:rPr>
            </w:pPr>
            <w:r w:rsidRPr="0075780E">
              <w:rPr>
                <w:rFonts w:ascii="Verdana" w:eastAsia="Times New Roman" w:hAnsi="Verdana" w:cs="Arial"/>
                <w:color w:val="000000"/>
                <w:szCs w:val="18"/>
                <w:lang w:val="en-NZ" w:eastAsia="en-NZ"/>
              </w:rPr>
              <w:t xml:space="preserve"> 1</w:t>
            </w:r>
            <w:r w:rsidR="00F60CC0">
              <w:rPr>
                <w:rFonts w:ascii="Verdana" w:eastAsia="Times New Roman" w:hAnsi="Verdana" w:cs="Arial"/>
                <w:color w:val="000000"/>
                <w:szCs w:val="18"/>
                <w:lang w:val="en-NZ" w:eastAsia="en-NZ"/>
              </w:rPr>
              <w:t>,</w:t>
            </w:r>
            <w:r w:rsidRPr="0075780E">
              <w:rPr>
                <w:rFonts w:ascii="Verdana" w:eastAsia="Times New Roman" w:hAnsi="Verdana" w:cs="Arial"/>
                <w:color w:val="000000"/>
                <w:szCs w:val="18"/>
                <w:lang w:val="en-NZ" w:eastAsia="en-NZ"/>
              </w:rPr>
              <w:t xml:space="preserve">249 FTE </w:t>
            </w:r>
          </w:p>
        </w:tc>
        <w:tc>
          <w:tcPr>
            <w:tcW w:w="1420" w:type="dxa"/>
            <w:tcBorders>
              <w:top w:val="nil"/>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color w:val="000000"/>
                <w:szCs w:val="18"/>
                <w:lang w:val="en-NZ" w:eastAsia="en-NZ"/>
              </w:rPr>
            </w:pPr>
            <w:r w:rsidRPr="0075780E">
              <w:rPr>
                <w:rFonts w:ascii="Verdana" w:eastAsia="Times New Roman" w:hAnsi="Verdana" w:cs="Arial"/>
                <w:color w:val="000000"/>
                <w:szCs w:val="18"/>
                <w:lang w:val="en-NZ" w:eastAsia="en-NZ"/>
              </w:rPr>
              <w:t xml:space="preserve"> 1</w:t>
            </w:r>
            <w:r w:rsidR="00F60CC0">
              <w:rPr>
                <w:rFonts w:ascii="Verdana" w:eastAsia="Times New Roman" w:hAnsi="Verdana" w:cs="Arial"/>
                <w:color w:val="000000"/>
                <w:szCs w:val="18"/>
                <w:lang w:val="en-NZ" w:eastAsia="en-NZ"/>
              </w:rPr>
              <w:t>,</w:t>
            </w:r>
            <w:r w:rsidRPr="0075780E">
              <w:rPr>
                <w:rFonts w:ascii="Verdana" w:eastAsia="Times New Roman" w:hAnsi="Verdana" w:cs="Arial"/>
                <w:color w:val="000000"/>
                <w:szCs w:val="18"/>
                <w:lang w:val="en-NZ" w:eastAsia="en-NZ"/>
              </w:rPr>
              <w:t xml:space="preserve">467 FTE </w:t>
            </w:r>
          </w:p>
        </w:tc>
        <w:tc>
          <w:tcPr>
            <w:tcW w:w="1420" w:type="dxa"/>
            <w:tcBorders>
              <w:top w:val="nil"/>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color w:val="000000"/>
                <w:szCs w:val="18"/>
                <w:lang w:val="en-NZ" w:eastAsia="en-NZ"/>
              </w:rPr>
            </w:pPr>
            <w:r w:rsidRPr="0075780E">
              <w:rPr>
                <w:rFonts w:ascii="Verdana" w:eastAsia="Times New Roman" w:hAnsi="Verdana" w:cs="Arial"/>
                <w:color w:val="000000"/>
                <w:szCs w:val="18"/>
                <w:lang w:val="en-NZ" w:eastAsia="en-NZ"/>
              </w:rPr>
              <w:t xml:space="preserve"> 10 FTE </w:t>
            </w:r>
          </w:p>
        </w:tc>
        <w:tc>
          <w:tcPr>
            <w:tcW w:w="1420" w:type="dxa"/>
            <w:tcBorders>
              <w:top w:val="single" w:sz="8" w:space="0" w:color="86BC25"/>
              <w:left w:val="nil"/>
              <w:bottom w:val="single" w:sz="8" w:space="0" w:color="86BC25"/>
              <w:right w:val="single" w:sz="8" w:space="0" w:color="86BC25"/>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 xml:space="preserve"> 2</w:t>
            </w:r>
            <w:r w:rsidR="00F60CC0">
              <w:rPr>
                <w:rFonts w:ascii="Verdana" w:eastAsia="Times New Roman" w:hAnsi="Verdana" w:cs="Arial"/>
                <w:b/>
                <w:bCs/>
                <w:color w:val="000000"/>
                <w:szCs w:val="18"/>
                <w:lang w:val="en-NZ" w:eastAsia="en-NZ"/>
              </w:rPr>
              <w:t>,</w:t>
            </w:r>
            <w:r w:rsidRPr="0075780E">
              <w:rPr>
                <w:rFonts w:ascii="Verdana" w:eastAsia="Times New Roman" w:hAnsi="Verdana" w:cs="Arial"/>
                <w:b/>
                <w:bCs/>
                <w:color w:val="000000"/>
                <w:szCs w:val="18"/>
                <w:lang w:val="en-NZ" w:eastAsia="en-NZ"/>
              </w:rPr>
              <w:t xml:space="preserve">726 FTE </w:t>
            </w:r>
          </w:p>
        </w:tc>
      </w:tr>
      <w:tr w:rsidR="0075780E" w:rsidRPr="0075780E" w:rsidTr="0075780E">
        <w:trPr>
          <w:trHeight w:val="315"/>
        </w:trPr>
        <w:tc>
          <w:tcPr>
            <w:tcW w:w="2160" w:type="dxa"/>
            <w:tcBorders>
              <w:top w:val="nil"/>
              <w:left w:val="single" w:sz="8" w:space="0" w:color="86BC25"/>
              <w:bottom w:val="single" w:sz="8" w:space="0" w:color="86BC25"/>
              <w:right w:val="nil"/>
            </w:tcBorders>
            <w:shd w:val="clear" w:color="auto" w:fill="auto"/>
            <w:vAlign w:val="center"/>
            <w:hideMark/>
          </w:tcPr>
          <w:p w:rsidR="0075780E" w:rsidRPr="0075780E" w:rsidRDefault="0075780E" w:rsidP="0075780E">
            <w:pPr>
              <w:spacing w:after="0" w:line="240" w:lineRule="auto"/>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Total</w:t>
            </w:r>
          </w:p>
        </w:tc>
        <w:tc>
          <w:tcPr>
            <w:tcW w:w="1420" w:type="dxa"/>
            <w:tcBorders>
              <w:top w:val="nil"/>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 xml:space="preserve"> 44</w:t>
            </w:r>
            <w:r w:rsidR="00F60CC0">
              <w:rPr>
                <w:rFonts w:ascii="Verdana" w:eastAsia="Times New Roman" w:hAnsi="Verdana" w:cs="Arial"/>
                <w:b/>
                <w:bCs/>
                <w:color w:val="000000"/>
                <w:szCs w:val="18"/>
                <w:lang w:val="en-NZ" w:eastAsia="en-NZ"/>
              </w:rPr>
              <w:t>,</w:t>
            </w:r>
            <w:r w:rsidRPr="0075780E">
              <w:rPr>
                <w:rFonts w:ascii="Verdana" w:eastAsia="Times New Roman" w:hAnsi="Verdana" w:cs="Arial"/>
                <w:b/>
                <w:bCs/>
                <w:color w:val="000000"/>
                <w:szCs w:val="18"/>
                <w:lang w:val="en-NZ" w:eastAsia="en-NZ"/>
              </w:rPr>
              <w:t xml:space="preserve">920 FTE </w:t>
            </w:r>
          </w:p>
        </w:tc>
        <w:tc>
          <w:tcPr>
            <w:tcW w:w="1420" w:type="dxa"/>
            <w:tcBorders>
              <w:top w:val="nil"/>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 xml:space="preserve"> 10</w:t>
            </w:r>
            <w:r w:rsidR="00F60CC0">
              <w:rPr>
                <w:rFonts w:ascii="Verdana" w:eastAsia="Times New Roman" w:hAnsi="Verdana" w:cs="Arial"/>
                <w:b/>
                <w:bCs/>
                <w:color w:val="000000"/>
                <w:szCs w:val="18"/>
                <w:lang w:val="en-NZ" w:eastAsia="en-NZ"/>
              </w:rPr>
              <w:t>,</w:t>
            </w:r>
            <w:r w:rsidRPr="0075780E">
              <w:rPr>
                <w:rFonts w:ascii="Verdana" w:eastAsia="Times New Roman" w:hAnsi="Verdana" w:cs="Arial"/>
                <w:b/>
                <w:bCs/>
                <w:color w:val="000000"/>
                <w:szCs w:val="18"/>
                <w:lang w:val="en-NZ" w:eastAsia="en-NZ"/>
              </w:rPr>
              <w:t xml:space="preserve">709 FTE </w:t>
            </w:r>
          </w:p>
        </w:tc>
        <w:tc>
          <w:tcPr>
            <w:tcW w:w="1420" w:type="dxa"/>
            <w:tcBorders>
              <w:top w:val="nil"/>
              <w:left w:val="nil"/>
              <w:bottom w:val="single" w:sz="8" w:space="0" w:color="86BC25"/>
              <w:right w:val="nil"/>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 xml:space="preserve"> 245 FTE </w:t>
            </w:r>
          </w:p>
        </w:tc>
        <w:tc>
          <w:tcPr>
            <w:tcW w:w="1420" w:type="dxa"/>
            <w:tcBorders>
              <w:top w:val="nil"/>
              <w:left w:val="nil"/>
              <w:bottom w:val="single" w:sz="8" w:space="0" w:color="86BC25"/>
              <w:right w:val="single" w:sz="8" w:space="0" w:color="86BC25"/>
            </w:tcBorders>
            <w:shd w:val="clear" w:color="auto" w:fill="auto"/>
            <w:vAlign w:val="center"/>
            <w:hideMark/>
          </w:tcPr>
          <w:p w:rsidR="0075780E" w:rsidRPr="0075780E" w:rsidRDefault="0075780E" w:rsidP="0075780E">
            <w:pPr>
              <w:spacing w:after="0" w:line="240" w:lineRule="auto"/>
              <w:jc w:val="right"/>
              <w:rPr>
                <w:rFonts w:ascii="Verdana" w:eastAsia="Times New Roman" w:hAnsi="Verdana" w:cs="Arial"/>
                <w:b/>
                <w:bCs/>
                <w:color w:val="000000"/>
                <w:szCs w:val="18"/>
                <w:lang w:val="en-NZ" w:eastAsia="en-NZ"/>
              </w:rPr>
            </w:pPr>
            <w:r w:rsidRPr="0075780E">
              <w:rPr>
                <w:rFonts w:ascii="Verdana" w:eastAsia="Times New Roman" w:hAnsi="Verdana" w:cs="Arial"/>
                <w:b/>
                <w:bCs/>
                <w:color w:val="000000"/>
                <w:szCs w:val="18"/>
                <w:lang w:val="en-NZ" w:eastAsia="en-NZ"/>
              </w:rPr>
              <w:t xml:space="preserve"> 55</w:t>
            </w:r>
            <w:r w:rsidR="00F60CC0">
              <w:rPr>
                <w:rFonts w:ascii="Verdana" w:eastAsia="Times New Roman" w:hAnsi="Verdana" w:cs="Arial"/>
                <w:b/>
                <w:bCs/>
                <w:color w:val="000000"/>
                <w:szCs w:val="18"/>
                <w:lang w:val="en-NZ" w:eastAsia="en-NZ"/>
              </w:rPr>
              <w:t>,</w:t>
            </w:r>
            <w:r w:rsidRPr="0075780E">
              <w:rPr>
                <w:rFonts w:ascii="Verdana" w:eastAsia="Times New Roman" w:hAnsi="Verdana" w:cs="Arial"/>
                <w:b/>
                <w:bCs/>
                <w:color w:val="000000"/>
                <w:szCs w:val="18"/>
                <w:lang w:val="en-NZ" w:eastAsia="en-NZ"/>
              </w:rPr>
              <w:t xml:space="preserve">874 FTE </w:t>
            </w:r>
          </w:p>
        </w:tc>
      </w:tr>
    </w:tbl>
    <w:p w:rsidR="0075780E" w:rsidRDefault="0075780E" w:rsidP="00DC63EE">
      <w:pPr>
        <w:spacing w:after="0"/>
        <w:rPr>
          <w:lang w:val="en-NZ"/>
        </w:rPr>
      </w:pPr>
    </w:p>
    <w:p w:rsidR="000D3A31" w:rsidRPr="00DB433A" w:rsidRDefault="000D3A31" w:rsidP="000D3A31">
      <w:pPr>
        <w:rPr>
          <w:lang w:val="en-NZ"/>
        </w:rPr>
      </w:pPr>
      <w:r w:rsidRPr="00DB433A">
        <w:rPr>
          <w:lang w:val="en-NZ"/>
        </w:rPr>
        <w:t>This shows</w:t>
      </w:r>
      <w:r w:rsidR="007B47D4">
        <w:rPr>
          <w:lang w:val="en-NZ"/>
        </w:rPr>
        <w:t xml:space="preserve"> that</w:t>
      </w:r>
      <w:r w:rsidRPr="00DB433A">
        <w:rPr>
          <w:lang w:val="en-NZ"/>
        </w:rPr>
        <w:t>:</w:t>
      </w:r>
    </w:p>
    <w:p w:rsidR="00DC63EE" w:rsidRPr="00DB433A" w:rsidRDefault="00DC63EE" w:rsidP="00DC63EE">
      <w:pPr>
        <w:pStyle w:val="ListParagraph"/>
        <w:numPr>
          <w:ilvl w:val="0"/>
          <w:numId w:val="25"/>
        </w:numPr>
        <w:rPr>
          <w:lang w:val="en-NZ"/>
        </w:rPr>
      </w:pPr>
      <w:r w:rsidRPr="00DB433A">
        <w:rPr>
          <w:lang w:val="en-NZ"/>
        </w:rPr>
        <w:t>Out of 2,7</w:t>
      </w:r>
      <w:r>
        <w:rPr>
          <w:lang w:val="en-NZ"/>
        </w:rPr>
        <w:t>26</w:t>
      </w:r>
      <w:r w:rsidRPr="00DB433A">
        <w:rPr>
          <w:lang w:val="en-NZ"/>
        </w:rPr>
        <w:t xml:space="preserve"> Relievers, 46% are employed through the FTTE entitlement</w:t>
      </w:r>
    </w:p>
    <w:p w:rsidR="000D3A31" w:rsidRPr="00DB433A" w:rsidRDefault="000D3A31" w:rsidP="00F50CE1">
      <w:pPr>
        <w:pStyle w:val="ListParagraph"/>
        <w:numPr>
          <w:ilvl w:val="0"/>
          <w:numId w:val="25"/>
        </w:numPr>
        <w:rPr>
          <w:lang w:val="en-NZ"/>
        </w:rPr>
      </w:pPr>
      <w:r w:rsidRPr="00DB433A">
        <w:rPr>
          <w:lang w:val="en-NZ"/>
        </w:rPr>
        <w:t>Schools overall employ 2,</w:t>
      </w:r>
      <w:r w:rsidR="00DC63EE">
        <w:rPr>
          <w:lang w:val="en-NZ"/>
        </w:rPr>
        <w:t>209</w:t>
      </w:r>
      <w:r w:rsidRPr="00DB433A">
        <w:rPr>
          <w:lang w:val="en-NZ"/>
        </w:rPr>
        <w:t xml:space="preserve"> Regular Teachers from Bulk Grant, or in addition to their FTTE entitlement</w:t>
      </w:r>
      <w:r w:rsidR="00DC63EE">
        <w:rPr>
          <w:lang w:val="en-NZ"/>
        </w:rPr>
        <w:t xml:space="preserve"> (4.8% of total)</w:t>
      </w:r>
    </w:p>
    <w:p w:rsidR="000D3A31" w:rsidRPr="00DB433A" w:rsidRDefault="00DC63EE" w:rsidP="000D3A31">
      <w:pPr>
        <w:rPr>
          <w:lang w:val="en-NZ"/>
        </w:rPr>
      </w:pPr>
      <w:r>
        <w:rPr>
          <w:lang w:val="en-NZ"/>
        </w:rPr>
        <w:t>N</w:t>
      </w:r>
      <w:r w:rsidR="000D3A31" w:rsidRPr="00DB433A">
        <w:rPr>
          <w:lang w:val="en-NZ"/>
        </w:rPr>
        <w:t xml:space="preserve">etting off Relievers from Regular Teachers in the Bulk Grant funding category would suggest </w:t>
      </w:r>
      <w:r w:rsidR="007B47D4">
        <w:rPr>
          <w:lang w:val="en-NZ"/>
        </w:rPr>
        <w:t>the school system as a whole</w:t>
      </w:r>
      <w:r w:rsidR="000D3A31" w:rsidRPr="00DB433A">
        <w:rPr>
          <w:lang w:val="en-NZ"/>
        </w:rPr>
        <w:t xml:space="preserve"> employ</w:t>
      </w:r>
      <w:r w:rsidR="007B47D4">
        <w:rPr>
          <w:lang w:val="en-NZ"/>
        </w:rPr>
        <w:t>s</w:t>
      </w:r>
      <w:r w:rsidR="000D3A31" w:rsidRPr="00DB433A">
        <w:rPr>
          <w:lang w:val="en-NZ"/>
        </w:rPr>
        <w:t xml:space="preserve"> around </w:t>
      </w:r>
      <w:r>
        <w:rPr>
          <w:lang w:val="en-NZ"/>
        </w:rPr>
        <w:t>960</w:t>
      </w:r>
      <w:r w:rsidR="000D3A31" w:rsidRPr="00DB433A">
        <w:rPr>
          <w:lang w:val="en-NZ"/>
        </w:rPr>
        <w:t xml:space="preserve"> FTE </w:t>
      </w:r>
      <w:r w:rsidR="00F60CC0">
        <w:rPr>
          <w:lang w:val="en-NZ"/>
        </w:rPr>
        <w:t>Regular T</w:t>
      </w:r>
      <w:r w:rsidR="000D3A31" w:rsidRPr="00DB433A">
        <w:rPr>
          <w:lang w:val="en-NZ"/>
        </w:rPr>
        <w:t xml:space="preserve">eachers </w:t>
      </w:r>
      <w:r w:rsidR="00F60CC0">
        <w:rPr>
          <w:lang w:val="en-NZ"/>
        </w:rPr>
        <w:t>above entitlement</w:t>
      </w:r>
      <w:r w:rsidR="000D3A31" w:rsidRPr="00DB433A">
        <w:rPr>
          <w:lang w:val="en-NZ"/>
        </w:rPr>
        <w:t>.</w:t>
      </w:r>
    </w:p>
    <w:p w:rsidR="00DE068A" w:rsidRDefault="00DE068A">
      <w:pPr>
        <w:spacing w:after="200" w:line="276" w:lineRule="auto"/>
        <w:rPr>
          <w:sz w:val="28"/>
          <w:lang w:val="en-NZ"/>
        </w:rPr>
      </w:pPr>
      <w:r>
        <w:rPr>
          <w:lang w:val="en-NZ"/>
        </w:rPr>
        <w:br w:type="page"/>
      </w:r>
    </w:p>
    <w:p w:rsidR="000D3A31" w:rsidRPr="00DB433A" w:rsidRDefault="000D3A31" w:rsidP="000D3A31">
      <w:pPr>
        <w:pStyle w:val="Sectionintro"/>
        <w:rPr>
          <w:lang w:val="en-NZ"/>
        </w:rPr>
      </w:pPr>
      <w:r w:rsidRPr="00DB433A">
        <w:rPr>
          <w:lang w:val="en-NZ"/>
        </w:rPr>
        <w:lastRenderedPageBreak/>
        <w:t>Teachers employed above FTTE Entitlement</w:t>
      </w:r>
    </w:p>
    <w:p w:rsidR="000D3A31" w:rsidRDefault="000D3A31" w:rsidP="000D3A31">
      <w:pPr>
        <w:rPr>
          <w:lang w:val="en-NZ"/>
        </w:rPr>
      </w:pPr>
      <w:r w:rsidRPr="00DB433A">
        <w:rPr>
          <w:lang w:val="en-NZ"/>
        </w:rPr>
        <w:t xml:space="preserve">The chart below shows the distribution of schools by what proportion of additional teachers </w:t>
      </w:r>
      <w:r w:rsidR="008D3EA1">
        <w:rPr>
          <w:lang w:val="en-NZ"/>
        </w:rPr>
        <w:t xml:space="preserve">(Regular and Relievers) </w:t>
      </w:r>
      <w:r w:rsidRPr="00DB433A">
        <w:rPr>
          <w:lang w:val="en-NZ"/>
        </w:rPr>
        <w:t>each school employs</w:t>
      </w:r>
      <w:r w:rsidR="008D3EA1">
        <w:rPr>
          <w:lang w:val="en-NZ"/>
        </w:rPr>
        <w:t xml:space="preserve"> from other than staffing entitlement</w:t>
      </w:r>
      <w:r w:rsidRPr="00DB433A">
        <w:rPr>
          <w:lang w:val="en-NZ"/>
        </w:rPr>
        <w:t>:</w:t>
      </w:r>
    </w:p>
    <w:p w:rsidR="00774D93" w:rsidRPr="00774D93" w:rsidRDefault="00774D93" w:rsidP="000D3A31">
      <w:pPr>
        <w:rPr>
          <w:b/>
          <w:lang w:val="en-NZ"/>
        </w:rPr>
      </w:pPr>
      <w:r>
        <w:rPr>
          <w:b/>
          <w:lang w:val="en-NZ"/>
        </w:rPr>
        <w:t xml:space="preserve">Bulk </w:t>
      </w:r>
      <w:r w:rsidR="00F60CC0">
        <w:rPr>
          <w:b/>
          <w:lang w:val="en-NZ"/>
        </w:rPr>
        <w:t>Grant</w:t>
      </w:r>
      <w:r w:rsidR="00F60CC0">
        <w:rPr>
          <w:rStyle w:val="FootnoteReference"/>
          <w:b/>
          <w:lang w:val="en-NZ"/>
        </w:rPr>
        <w:footnoteReference w:id="6"/>
      </w:r>
      <w:r w:rsidR="00F60CC0">
        <w:rPr>
          <w:b/>
          <w:lang w:val="en-NZ"/>
        </w:rPr>
        <w:t xml:space="preserve"> </w:t>
      </w:r>
      <w:r>
        <w:rPr>
          <w:b/>
          <w:lang w:val="en-NZ"/>
        </w:rPr>
        <w:t>Teacher FTE/Total Teacher FTE</w:t>
      </w:r>
    </w:p>
    <w:p w:rsidR="000D3A31" w:rsidRPr="00DB433A" w:rsidRDefault="002B7A02" w:rsidP="00CF6476">
      <w:pPr>
        <w:spacing w:after="0"/>
        <w:rPr>
          <w:lang w:val="en-NZ"/>
        </w:rPr>
      </w:pPr>
      <w:r>
        <w:rPr>
          <w:noProof/>
          <w:lang w:val="en-NZ" w:eastAsia="en-NZ"/>
        </w:rPr>
        <w:drawing>
          <wp:inline distT="0" distB="0" distL="0" distR="0">
            <wp:extent cx="4408098" cy="2777706"/>
            <wp:effectExtent l="0" t="0" r="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F6476" w:rsidRPr="0065511F" w:rsidRDefault="00CF6476" w:rsidP="00CF6476">
      <w:pPr>
        <w:jc w:val="right"/>
        <w:rPr>
          <w:lang w:val="en-NZ"/>
        </w:rPr>
      </w:pPr>
      <w:r>
        <w:rPr>
          <w:i/>
          <w:lang w:val="en-NZ"/>
        </w:rPr>
        <w:t>Payroll data</w:t>
      </w:r>
      <w:r w:rsidRPr="004B33E5">
        <w:rPr>
          <w:i/>
          <w:lang w:val="en-NZ"/>
        </w:rPr>
        <w:t xml:space="preserve">, </w:t>
      </w:r>
      <w:r>
        <w:rPr>
          <w:i/>
          <w:lang w:val="en-NZ"/>
        </w:rPr>
        <w:t>around 2,400</w:t>
      </w:r>
      <w:r w:rsidRPr="004B33E5">
        <w:rPr>
          <w:i/>
          <w:lang w:val="en-NZ"/>
        </w:rPr>
        <w:t xml:space="preserve"> schools</w:t>
      </w:r>
    </w:p>
    <w:p w:rsidR="000D3A31" w:rsidRPr="00DB433A" w:rsidRDefault="000D3A31" w:rsidP="000D3A31">
      <w:pPr>
        <w:pStyle w:val="Heading1BlueNumbered"/>
        <w:numPr>
          <w:ilvl w:val="0"/>
          <w:numId w:val="0"/>
        </w:numPr>
        <w:ind w:left="851" w:hanging="851"/>
      </w:pPr>
      <w:r w:rsidRPr="00DB433A">
        <w:t>Reasons for additional teachers</w:t>
      </w:r>
    </w:p>
    <w:p w:rsidR="000D3A31" w:rsidRPr="00DB433A" w:rsidRDefault="000D3A31" w:rsidP="000D3A31">
      <w:pPr>
        <w:rPr>
          <w:lang w:val="en-NZ"/>
        </w:rPr>
      </w:pPr>
      <w:r w:rsidRPr="00DB433A">
        <w:rPr>
          <w:lang w:val="en-NZ"/>
        </w:rPr>
        <w:t xml:space="preserve">Schools who participated in our survey reported a range of reasons for employing additional </w:t>
      </w:r>
      <w:r w:rsidR="008D3EA1">
        <w:rPr>
          <w:lang w:val="en-NZ"/>
        </w:rPr>
        <w:t>Regular T</w:t>
      </w:r>
      <w:r w:rsidRPr="00DB433A">
        <w:rPr>
          <w:lang w:val="en-NZ"/>
        </w:rPr>
        <w:t>eachers. Several schools have significant numbers of International Students, and in those cases additional teachers are often employed from those revenues to manage the additional students – e.g. if a school has 80 International Students, it might expect to need to employ four additional teachers over its FTTE entitlement overall.</w:t>
      </w:r>
    </w:p>
    <w:p w:rsidR="000D3A31" w:rsidRPr="00DB433A" w:rsidRDefault="000D3A31" w:rsidP="000D3A31">
      <w:pPr>
        <w:pStyle w:val="Heading2"/>
        <w:rPr>
          <w:lang w:val="en-NZ"/>
        </w:rPr>
      </w:pPr>
      <w:r w:rsidRPr="00DB433A">
        <w:rPr>
          <w:lang w:val="en-NZ"/>
        </w:rPr>
        <w:t>Additional teachers for International Students and Secondary Tertiary Programme</w:t>
      </w:r>
    </w:p>
    <w:p w:rsidR="000D3A31" w:rsidRPr="00DB433A" w:rsidRDefault="000D3A31" w:rsidP="000D3A31">
      <w:pPr>
        <w:rPr>
          <w:lang w:val="en-NZ"/>
        </w:rPr>
      </w:pPr>
      <w:r w:rsidRPr="00DB433A">
        <w:rPr>
          <w:lang w:val="en-NZ"/>
        </w:rPr>
        <w:t>We analysed s</w:t>
      </w:r>
      <w:r w:rsidR="00352C3C">
        <w:rPr>
          <w:lang w:val="en-NZ"/>
        </w:rPr>
        <w:t>taffing from bulk grants for 121</w:t>
      </w:r>
      <w:r w:rsidRPr="00DB433A">
        <w:rPr>
          <w:lang w:val="en-NZ"/>
        </w:rPr>
        <w:t xml:space="preserve"> schools that have either 20 or more international students or more than 5% of their roll as international students. We set an expected number of teaching-related FTE for these at a ratio of 1:20, and only one school employed fewer FTE from its bulk grant.</w:t>
      </w:r>
      <w:r w:rsidR="00611254">
        <w:rPr>
          <w:lang w:val="en-NZ"/>
        </w:rPr>
        <w:t xml:space="preserve"> On average, this estimated additional teacher requirement accounted for around 40% of the extra teachers employed by these schools.</w:t>
      </w:r>
    </w:p>
    <w:p w:rsidR="000D3A31" w:rsidRPr="00DB433A" w:rsidRDefault="000D3A31" w:rsidP="000D3A31">
      <w:pPr>
        <w:rPr>
          <w:lang w:val="en-NZ"/>
        </w:rPr>
      </w:pPr>
      <w:r w:rsidRPr="00DB433A">
        <w:rPr>
          <w:lang w:val="en-NZ"/>
        </w:rPr>
        <w:t>We also carried out similar analysis for Secondary Tertiary Programme students, who are not funded through the FTTE entitlement. Of 80 schools with 20 or more such students, none employed fewer than 1:20 additional teaching-related staff through their bulk grants.</w:t>
      </w:r>
    </w:p>
    <w:p w:rsidR="000D3A31" w:rsidRPr="00DB433A" w:rsidRDefault="000D3A31" w:rsidP="000D3A31">
      <w:pPr>
        <w:rPr>
          <w:lang w:val="en-NZ"/>
        </w:rPr>
      </w:pPr>
      <w:r w:rsidRPr="00DB433A">
        <w:rPr>
          <w:lang w:val="en-NZ"/>
        </w:rPr>
        <w:t xml:space="preserve">Overall, there were over 13,000 international students and Secondary Tertiary Programme students across non-private schools in New Zealand in 2015. Taking a range of ratios from 1:25 to 1:20 would provide an </w:t>
      </w:r>
      <w:r w:rsidRPr="00DB433A">
        <w:rPr>
          <w:lang w:val="en-NZ"/>
        </w:rPr>
        <w:lastRenderedPageBreak/>
        <w:t xml:space="preserve">estimated 530 – 660 FTE of teaching-related staff that need to be funded from Bulk Grant to manage this volume. </w:t>
      </w:r>
    </w:p>
    <w:p w:rsidR="000D3A31" w:rsidRPr="00DB433A" w:rsidRDefault="000D3A31" w:rsidP="000D3A31">
      <w:pPr>
        <w:pStyle w:val="Heading2"/>
        <w:rPr>
          <w:lang w:val="en-NZ"/>
        </w:rPr>
      </w:pPr>
      <w:r w:rsidRPr="00DB433A">
        <w:rPr>
          <w:lang w:val="en-NZ"/>
        </w:rPr>
        <w:t>Reasons for additional teachers from our survey</w:t>
      </w:r>
    </w:p>
    <w:p w:rsidR="000D3A31" w:rsidRPr="00DB433A" w:rsidRDefault="000D3A31" w:rsidP="000D3A31">
      <w:pPr>
        <w:rPr>
          <w:lang w:val="en-NZ"/>
        </w:rPr>
      </w:pPr>
      <w:r w:rsidRPr="00DB433A">
        <w:rPr>
          <w:lang w:val="en-NZ"/>
        </w:rPr>
        <w:t>Other reasons reported (from most to least frequent) are:</w:t>
      </w:r>
    </w:p>
    <w:p w:rsidR="000D3A31" w:rsidRPr="00DB433A" w:rsidRDefault="000D3A31" w:rsidP="00F50CE1">
      <w:pPr>
        <w:pStyle w:val="ListParagraph"/>
        <w:numPr>
          <w:ilvl w:val="0"/>
          <w:numId w:val="22"/>
        </w:numPr>
        <w:rPr>
          <w:lang w:val="en-NZ"/>
        </w:rPr>
      </w:pPr>
      <w:r w:rsidRPr="00DB433A">
        <w:rPr>
          <w:lang w:val="en-NZ"/>
        </w:rPr>
        <w:t>Smaller class sizes for specific students or subjects</w:t>
      </w:r>
    </w:p>
    <w:p w:rsidR="000D3A31" w:rsidRPr="00DB433A" w:rsidRDefault="000D3A31" w:rsidP="00F50CE1">
      <w:pPr>
        <w:pStyle w:val="ListParagraph"/>
        <w:numPr>
          <w:ilvl w:val="0"/>
          <w:numId w:val="22"/>
        </w:numPr>
        <w:rPr>
          <w:lang w:val="en-NZ"/>
        </w:rPr>
      </w:pPr>
      <w:r w:rsidRPr="00DB433A">
        <w:rPr>
          <w:lang w:val="en-NZ"/>
        </w:rPr>
        <w:t>Smaller class sizes in general</w:t>
      </w:r>
    </w:p>
    <w:p w:rsidR="000D3A31" w:rsidRPr="00DB433A" w:rsidRDefault="000D3A31" w:rsidP="00F50CE1">
      <w:pPr>
        <w:pStyle w:val="ListParagraph"/>
        <w:numPr>
          <w:ilvl w:val="0"/>
          <w:numId w:val="22"/>
        </w:numPr>
        <w:rPr>
          <w:lang w:val="en-NZ"/>
        </w:rPr>
      </w:pPr>
      <w:r w:rsidRPr="00DB433A">
        <w:rPr>
          <w:lang w:val="en-NZ"/>
        </w:rPr>
        <w:t>Broader subject choice for students</w:t>
      </w:r>
    </w:p>
    <w:p w:rsidR="000D3A31" w:rsidRPr="00DB433A" w:rsidRDefault="000D3A31" w:rsidP="00F50CE1">
      <w:pPr>
        <w:pStyle w:val="ListParagraph"/>
        <w:numPr>
          <w:ilvl w:val="0"/>
          <w:numId w:val="22"/>
        </w:numPr>
        <w:rPr>
          <w:lang w:val="en-NZ"/>
        </w:rPr>
      </w:pPr>
      <w:r w:rsidRPr="00DB433A">
        <w:rPr>
          <w:lang w:val="en-NZ"/>
        </w:rPr>
        <w:t>Providing additional responsibilities for teachers</w:t>
      </w:r>
    </w:p>
    <w:p w:rsidR="000D3A31" w:rsidRPr="00DB433A" w:rsidRDefault="000D3A31" w:rsidP="000D3A31">
      <w:pPr>
        <w:pStyle w:val="Heading1BlueNumbered"/>
        <w:numPr>
          <w:ilvl w:val="0"/>
          <w:numId w:val="0"/>
        </w:numPr>
        <w:ind w:left="851" w:hanging="851"/>
      </w:pPr>
      <w:r w:rsidRPr="00DB433A">
        <w:t>Difference in average salary for funding source</w:t>
      </w:r>
    </w:p>
    <w:p w:rsidR="008969FF" w:rsidRDefault="008969FF" w:rsidP="008969FF">
      <w:pPr>
        <w:rPr>
          <w:lang w:val="en-NZ"/>
        </w:rPr>
      </w:pPr>
      <w:r w:rsidRPr="00DB433A">
        <w:rPr>
          <w:lang w:val="en-NZ"/>
        </w:rPr>
        <w:t xml:space="preserve">The average salary of </w:t>
      </w:r>
      <w:r w:rsidR="00276320">
        <w:rPr>
          <w:lang w:val="en-NZ"/>
        </w:rPr>
        <w:t>R</w:t>
      </w:r>
      <w:r>
        <w:rPr>
          <w:lang w:val="en-NZ"/>
        </w:rPr>
        <w:t xml:space="preserve">egular </w:t>
      </w:r>
      <w:r w:rsidR="00276320">
        <w:rPr>
          <w:lang w:val="en-NZ"/>
        </w:rPr>
        <w:t>T</w:t>
      </w:r>
      <w:r w:rsidRPr="00DB433A">
        <w:rPr>
          <w:lang w:val="en-NZ"/>
        </w:rPr>
        <w:t>eachers</w:t>
      </w:r>
      <w:r>
        <w:rPr>
          <w:rStyle w:val="FootnoteReference"/>
          <w:lang w:val="en-NZ"/>
        </w:rPr>
        <w:footnoteReference w:id="7"/>
      </w:r>
      <w:r w:rsidRPr="00DB433A">
        <w:rPr>
          <w:lang w:val="en-NZ"/>
        </w:rPr>
        <w:t xml:space="preserve"> paid through the </w:t>
      </w:r>
      <w:r>
        <w:rPr>
          <w:lang w:val="en-NZ"/>
        </w:rPr>
        <w:t>FTTE entitlement</w:t>
      </w:r>
      <w:r w:rsidRPr="00DB433A">
        <w:rPr>
          <w:lang w:val="en-NZ"/>
        </w:rPr>
        <w:t xml:space="preserve"> is </w:t>
      </w:r>
      <w:r>
        <w:rPr>
          <w:lang w:val="en-NZ"/>
        </w:rPr>
        <w:t>11</w:t>
      </w:r>
      <w:r w:rsidRPr="00DB433A">
        <w:rPr>
          <w:lang w:val="en-NZ"/>
        </w:rPr>
        <w:t xml:space="preserve">% higher than for </w:t>
      </w:r>
      <w:r w:rsidR="00276320">
        <w:rPr>
          <w:lang w:val="en-NZ"/>
        </w:rPr>
        <w:t>R</w:t>
      </w:r>
      <w:r>
        <w:rPr>
          <w:lang w:val="en-NZ"/>
        </w:rPr>
        <w:t xml:space="preserve">egular </w:t>
      </w:r>
      <w:r w:rsidR="00276320">
        <w:rPr>
          <w:lang w:val="en-NZ"/>
        </w:rPr>
        <w:t>T</w:t>
      </w:r>
      <w:r w:rsidRPr="00DB433A">
        <w:rPr>
          <w:lang w:val="en-NZ"/>
        </w:rPr>
        <w:t>eachers paid from other funds.</w:t>
      </w:r>
    </w:p>
    <w:p w:rsidR="008969FF" w:rsidRPr="00DB433A" w:rsidRDefault="008969FF" w:rsidP="008969FF">
      <w:pPr>
        <w:rPr>
          <w:lang w:val="en-NZ"/>
        </w:rPr>
      </w:pPr>
      <w:r w:rsidRPr="00DB433A">
        <w:rPr>
          <w:lang w:val="en-NZ"/>
        </w:rPr>
        <w:t>This is not surprising given the Teachers Salaries Grants provide an FTTE entitlement (i.e. the Ministry carries the salary risk) whereas staff employed from other funding are real cash expenses for schools.</w:t>
      </w:r>
    </w:p>
    <w:p w:rsidR="000D3A31" w:rsidRPr="00DB433A" w:rsidRDefault="000D3A31" w:rsidP="000D3A31">
      <w:pPr>
        <w:pStyle w:val="Heading1BlueNumbered"/>
        <w:numPr>
          <w:ilvl w:val="0"/>
          <w:numId w:val="0"/>
        </w:numPr>
        <w:ind w:left="851" w:hanging="851"/>
      </w:pPr>
      <w:r w:rsidRPr="00DB433A">
        <w:t>Tendency to employ additional teachers by decile</w:t>
      </w:r>
    </w:p>
    <w:p w:rsidR="000D3A31" w:rsidRDefault="000D3A31" w:rsidP="000D3A31">
      <w:pPr>
        <w:rPr>
          <w:lang w:val="en-NZ"/>
        </w:rPr>
      </w:pPr>
      <w:r w:rsidRPr="00DB433A">
        <w:rPr>
          <w:lang w:val="en-NZ"/>
        </w:rPr>
        <w:t xml:space="preserve">There are </w:t>
      </w:r>
      <w:r w:rsidR="004D41E1">
        <w:rPr>
          <w:lang w:val="en-NZ"/>
        </w:rPr>
        <w:t xml:space="preserve">more </w:t>
      </w:r>
      <w:r w:rsidR="002D2084" w:rsidRPr="00DB433A">
        <w:rPr>
          <w:lang w:val="en-NZ"/>
        </w:rPr>
        <w:t>low</w:t>
      </w:r>
      <w:r w:rsidRPr="00DB433A">
        <w:rPr>
          <w:lang w:val="en-NZ"/>
        </w:rPr>
        <w:t xml:space="preserve"> decile schools than high decile schools that employ a relatively large number of additional teachers from bulk grants, but each decile includes a range of schools that are relatively high and relatively low in terms of employing such additional teachers.</w:t>
      </w:r>
    </w:p>
    <w:p w:rsidR="00C0398F" w:rsidRPr="00C0398F" w:rsidRDefault="00C0398F" w:rsidP="000D3A31">
      <w:pPr>
        <w:rPr>
          <w:b/>
          <w:lang w:val="en-NZ"/>
        </w:rPr>
      </w:pPr>
      <w:r>
        <w:rPr>
          <w:b/>
          <w:lang w:val="en-NZ"/>
        </w:rPr>
        <w:t>Bulk Teacher FTE/Total Teacher FTE</w:t>
      </w:r>
      <w:r w:rsidR="00FB1C38">
        <w:rPr>
          <w:b/>
          <w:lang w:val="en-NZ"/>
        </w:rPr>
        <w:t xml:space="preserve"> – By Decile</w:t>
      </w:r>
    </w:p>
    <w:tbl>
      <w:tblPr>
        <w:tblStyle w:val="TableGrid"/>
        <w:tblW w:w="0" w:type="auto"/>
        <w:tblCellMar>
          <w:left w:w="108" w:type="dxa"/>
          <w:right w:w="108" w:type="dxa"/>
        </w:tblCellMar>
        <w:tblLook w:val="04A0"/>
      </w:tblPr>
      <w:tblGrid>
        <w:gridCol w:w="7161"/>
      </w:tblGrid>
      <w:tr w:rsidR="00115808" w:rsidTr="00E56B70">
        <w:trPr>
          <w:cnfStyle w:val="100000000000"/>
        </w:trPr>
        <w:tc>
          <w:tcPr>
            <w:tcW w:w="6945" w:type="dxa"/>
          </w:tcPr>
          <w:p w:rsidR="00115808" w:rsidRDefault="00E56B70" w:rsidP="00CF6476">
            <w:pPr>
              <w:spacing w:after="0"/>
              <w:rPr>
                <w:lang w:val="en-NZ"/>
              </w:rPr>
            </w:pPr>
            <w:r>
              <w:rPr>
                <w:noProof/>
                <w:lang w:val="en-NZ" w:eastAsia="en-NZ"/>
              </w:rPr>
              <w:t xml:space="preserve"> </w:t>
            </w:r>
            <w:r w:rsidR="004D41E1">
              <w:rPr>
                <w:noProof/>
                <w:lang w:val="en-NZ" w:eastAsia="en-NZ"/>
              </w:rPr>
              <w:drawing>
                <wp:inline distT="0" distB="0" distL="0" distR="0">
                  <wp:extent cx="4637739" cy="202826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CF6476" w:rsidRPr="0065511F" w:rsidRDefault="00CF6476" w:rsidP="00CF6476">
      <w:pPr>
        <w:jc w:val="right"/>
        <w:rPr>
          <w:lang w:val="en-NZ"/>
        </w:rPr>
      </w:pPr>
      <w:r>
        <w:rPr>
          <w:i/>
          <w:lang w:val="en-NZ"/>
        </w:rPr>
        <w:t>Payroll data</w:t>
      </w:r>
      <w:r w:rsidRPr="004B33E5">
        <w:rPr>
          <w:i/>
          <w:lang w:val="en-NZ"/>
        </w:rPr>
        <w:t xml:space="preserve">, </w:t>
      </w:r>
      <w:r>
        <w:rPr>
          <w:i/>
          <w:lang w:val="en-NZ"/>
        </w:rPr>
        <w:t>around 2,400</w:t>
      </w:r>
      <w:r w:rsidRPr="004B33E5">
        <w:rPr>
          <w:i/>
          <w:lang w:val="en-NZ"/>
        </w:rPr>
        <w:t xml:space="preserve"> schools</w:t>
      </w:r>
    </w:p>
    <w:p w:rsidR="00DE068A" w:rsidRDefault="00DE068A">
      <w:pPr>
        <w:spacing w:after="200" w:line="276" w:lineRule="auto"/>
        <w:rPr>
          <w:rFonts w:asciiTheme="majorHAnsi" w:eastAsia="Times" w:hAnsiTheme="majorHAnsi" w:cs="Times New Roman"/>
          <w:b/>
          <w:color w:val="62B5E5" w:themeColor="accent3"/>
          <w:szCs w:val="24"/>
          <w:lang w:val="en-NZ"/>
        </w:rPr>
      </w:pPr>
      <w:r>
        <w:br w:type="page"/>
      </w:r>
    </w:p>
    <w:p w:rsidR="000D3A31" w:rsidRPr="00DB433A" w:rsidRDefault="000D3A31" w:rsidP="000D3A31">
      <w:pPr>
        <w:pStyle w:val="Heading1BlueNumbered"/>
        <w:numPr>
          <w:ilvl w:val="0"/>
          <w:numId w:val="0"/>
        </w:numPr>
        <w:ind w:left="851" w:hanging="851"/>
      </w:pPr>
      <w:r w:rsidRPr="00DB433A">
        <w:lastRenderedPageBreak/>
        <w:t>Differences between school types</w:t>
      </w:r>
    </w:p>
    <w:p w:rsidR="000D3A31" w:rsidRDefault="000D3A31" w:rsidP="000D3A31">
      <w:pPr>
        <w:rPr>
          <w:lang w:val="en-NZ"/>
        </w:rPr>
      </w:pPr>
      <w:r w:rsidRPr="00DB433A">
        <w:rPr>
          <w:lang w:val="en-NZ"/>
        </w:rPr>
        <w:t>The following chart shows differences between school types</w:t>
      </w:r>
      <w:r w:rsidR="00D90513">
        <w:rPr>
          <w:lang w:val="en-NZ"/>
        </w:rPr>
        <w:t>:</w:t>
      </w:r>
    </w:p>
    <w:p w:rsidR="008D4C53" w:rsidRPr="00BC254E" w:rsidRDefault="008D4C53" w:rsidP="000D3A31">
      <w:pPr>
        <w:rPr>
          <w:b/>
          <w:lang w:val="en-NZ"/>
        </w:rPr>
      </w:pPr>
      <w:r>
        <w:rPr>
          <w:b/>
          <w:lang w:val="en-NZ"/>
        </w:rPr>
        <w:t>Bulk Teacher FTE/Total Teacher FTE – By School Type</w:t>
      </w:r>
    </w:p>
    <w:tbl>
      <w:tblPr>
        <w:tblStyle w:val="TableGrid"/>
        <w:tblW w:w="0" w:type="auto"/>
        <w:tblCellMar>
          <w:left w:w="108" w:type="dxa"/>
          <w:right w:w="108" w:type="dxa"/>
        </w:tblCellMar>
        <w:tblLook w:val="04A0"/>
      </w:tblPr>
      <w:tblGrid>
        <w:gridCol w:w="7161"/>
      </w:tblGrid>
      <w:tr w:rsidR="000D3A31" w:rsidRPr="00DB433A" w:rsidTr="00227ECA">
        <w:trPr>
          <w:cnfStyle w:val="100000000000"/>
        </w:trPr>
        <w:tc>
          <w:tcPr>
            <w:tcW w:w="6945" w:type="dxa"/>
          </w:tcPr>
          <w:p w:rsidR="000D3A31" w:rsidRDefault="00227ECA" w:rsidP="00CF6476">
            <w:pPr>
              <w:spacing w:after="0"/>
              <w:rPr>
                <w:lang w:val="en-NZ"/>
              </w:rPr>
            </w:pPr>
            <w:r>
              <w:rPr>
                <w:noProof/>
                <w:lang w:val="en-NZ" w:eastAsia="en-NZ"/>
              </w:rPr>
              <w:drawing>
                <wp:inline distT="0" distB="0" distL="0" distR="0">
                  <wp:extent cx="4637739" cy="202826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453DB" w:rsidRPr="00DB433A" w:rsidRDefault="00CF6476" w:rsidP="00CD3B8B">
            <w:pPr>
              <w:jc w:val="right"/>
              <w:rPr>
                <w:lang w:val="en-NZ"/>
              </w:rPr>
            </w:pPr>
            <w:r>
              <w:rPr>
                <w:i/>
                <w:lang w:val="en-NZ"/>
              </w:rPr>
              <w:t>Payroll data</w:t>
            </w:r>
            <w:r w:rsidRPr="004B33E5">
              <w:rPr>
                <w:i/>
                <w:lang w:val="en-NZ"/>
              </w:rPr>
              <w:t xml:space="preserve">, </w:t>
            </w:r>
            <w:r>
              <w:rPr>
                <w:i/>
                <w:lang w:val="en-NZ"/>
              </w:rPr>
              <w:t>around 2,400</w:t>
            </w:r>
            <w:r w:rsidRPr="004B33E5">
              <w:rPr>
                <w:i/>
                <w:lang w:val="en-NZ"/>
              </w:rPr>
              <w:t xml:space="preserve"> schools</w:t>
            </w:r>
          </w:p>
        </w:tc>
      </w:tr>
    </w:tbl>
    <w:p w:rsidR="000D3A31" w:rsidRPr="00DB433A" w:rsidRDefault="00CD3B8B" w:rsidP="00CD3B8B">
      <w:pPr>
        <w:rPr>
          <w:lang w:val="en-NZ"/>
        </w:rPr>
      </w:pPr>
      <w:r>
        <w:rPr>
          <w:lang w:val="en-NZ"/>
        </w:rPr>
        <w:t>This shows secondary schools tend to employ a greater portion of additional teachers than other school types.</w:t>
      </w:r>
    </w:p>
    <w:p w:rsidR="000D3A31" w:rsidRPr="00DB433A" w:rsidRDefault="000D3A31" w:rsidP="000D3A31">
      <w:pPr>
        <w:pStyle w:val="Sectionintro"/>
        <w:rPr>
          <w:lang w:val="en-NZ"/>
        </w:rPr>
      </w:pPr>
      <w:r w:rsidRPr="00DB433A">
        <w:rPr>
          <w:lang w:val="en-NZ"/>
        </w:rPr>
        <w:t>Teachers Aides and similar support roles</w:t>
      </w:r>
    </w:p>
    <w:p w:rsidR="000D3A31" w:rsidRPr="00DB433A" w:rsidRDefault="000D3A31" w:rsidP="000D3A31">
      <w:pPr>
        <w:rPr>
          <w:lang w:val="en-NZ"/>
        </w:rPr>
      </w:pPr>
      <w:r w:rsidRPr="00DB433A">
        <w:rPr>
          <w:lang w:val="en-NZ"/>
        </w:rPr>
        <w:t xml:space="preserve">For this analysis, we have excluded Special Schools and used the designations given to staff in the </w:t>
      </w:r>
      <w:r w:rsidR="00276320">
        <w:rPr>
          <w:lang w:val="en-NZ"/>
        </w:rPr>
        <w:t>s</w:t>
      </w:r>
      <w:r w:rsidRPr="00DB433A">
        <w:rPr>
          <w:lang w:val="en-NZ"/>
        </w:rPr>
        <w:t>chools</w:t>
      </w:r>
      <w:r w:rsidR="00276320">
        <w:rPr>
          <w:lang w:val="en-NZ"/>
        </w:rPr>
        <w:t>’</w:t>
      </w:r>
      <w:r w:rsidRPr="00DB433A">
        <w:rPr>
          <w:lang w:val="en-NZ"/>
        </w:rPr>
        <w:t xml:space="preserve"> </w:t>
      </w:r>
      <w:r w:rsidR="00276320">
        <w:rPr>
          <w:lang w:val="en-NZ"/>
        </w:rPr>
        <w:t>p</w:t>
      </w:r>
      <w:r w:rsidRPr="00DB433A">
        <w:rPr>
          <w:lang w:val="en-NZ"/>
        </w:rPr>
        <w:t>ayroll system to identify types of role for staff.</w:t>
      </w:r>
    </w:p>
    <w:p w:rsidR="000D3A31" w:rsidRPr="00DB433A" w:rsidRDefault="000D3A31" w:rsidP="000D3A31">
      <w:pPr>
        <w:rPr>
          <w:lang w:val="en-NZ"/>
        </w:rPr>
      </w:pPr>
      <w:r w:rsidRPr="00DB433A">
        <w:rPr>
          <w:lang w:val="en-NZ"/>
        </w:rPr>
        <w:t>From our interviews, schools generally use these teaching support roles in the classroom, focused on students or smal</w:t>
      </w:r>
      <w:r w:rsidR="008625B5">
        <w:rPr>
          <w:lang w:val="en-NZ"/>
        </w:rPr>
        <w:t>l groups with particular needs.</w:t>
      </w:r>
    </w:p>
    <w:p w:rsidR="000D3A31" w:rsidRDefault="000D3A31" w:rsidP="000D3A31">
      <w:pPr>
        <w:rPr>
          <w:lang w:val="en-NZ"/>
        </w:rPr>
      </w:pPr>
      <w:r w:rsidRPr="00DB433A">
        <w:rPr>
          <w:lang w:val="en-NZ"/>
        </w:rPr>
        <w:t>The chart below shows the distribution across schools of the teaching support staff as a proportion of total teaching staff (on an FTE basis):</w:t>
      </w:r>
    </w:p>
    <w:p w:rsidR="0096492A" w:rsidRPr="00BC254E" w:rsidRDefault="0096492A" w:rsidP="000D3A31">
      <w:pPr>
        <w:rPr>
          <w:b/>
          <w:lang w:val="en-NZ"/>
        </w:rPr>
      </w:pPr>
      <w:r>
        <w:rPr>
          <w:b/>
          <w:lang w:val="en-NZ"/>
        </w:rPr>
        <w:t>Teaching Support Staff as a proportion of Total Teaching Staff</w:t>
      </w:r>
    </w:p>
    <w:tbl>
      <w:tblPr>
        <w:tblStyle w:val="TableGrid"/>
        <w:tblW w:w="10206" w:type="dxa"/>
        <w:tblInd w:w="108" w:type="dxa"/>
        <w:tblCellMar>
          <w:left w:w="108" w:type="dxa"/>
          <w:right w:w="108" w:type="dxa"/>
        </w:tblCellMar>
        <w:tblLook w:val="04A0"/>
      </w:tblPr>
      <w:tblGrid>
        <w:gridCol w:w="10206"/>
      </w:tblGrid>
      <w:tr w:rsidR="000D3A31" w:rsidRPr="00DB433A" w:rsidTr="00B53AB9">
        <w:trPr>
          <w:cnfStyle w:val="100000000000"/>
        </w:trPr>
        <w:tc>
          <w:tcPr>
            <w:tcW w:w="10206" w:type="dxa"/>
          </w:tcPr>
          <w:p w:rsidR="000D3A31" w:rsidRPr="00DB433A" w:rsidRDefault="000D3A31" w:rsidP="00CC576D">
            <w:pPr>
              <w:spacing w:after="0"/>
              <w:rPr>
                <w:lang w:val="en-NZ"/>
              </w:rPr>
            </w:pPr>
            <w:r w:rsidRPr="00DB433A">
              <w:rPr>
                <w:noProof/>
                <w:lang w:val="en-NZ" w:eastAsia="en-NZ"/>
              </w:rPr>
              <w:drawing>
                <wp:inline distT="0" distB="0" distL="0" distR="0">
                  <wp:extent cx="3795395" cy="2374313"/>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CC576D" w:rsidRPr="0065511F" w:rsidRDefault="00CC576D" w:rsidP="00CC576D">
      <w:pPr>
        <w:jc w:val="right"/>
        <w:rPr>
          <w:lang w:val="en-NZ"/>
        </w:rPr>
      </w:pPr>
      <w:r>
        <w:rPr>
          <w:i/>
          <w:lang w:val="en-NZ"/>
        </w:rPr>
        <w:t>Payroll data</w:t>
      </w:r>
      <w:r w:rsidRPr="004B33E5">
        <w:rPr>
          <w:i/>
          <w:lang w:val="en-NZ"/>
        </w:rPr>
        <w:t xml:space="preserve">, </w:t>
      </w:r>
      <w:r>
        <w:rPr>
          <w:i/>
          <w:lang w:val="en-NZ"/>
        </w:rPr>
        <w:t>2,379</w:t>
      </w:r>
      <w:r w:rsidRPr="004B33E5">
        <w:rPr>
          <w:i/>
          <w:lang w:val="en-NZ"/>
        </w:rPr>
        <w:t xml:space="preserve"> schools</w:t>
      </w:r>
    </w:p>
    <w:p w:rsidR="000D3A31" w:rsidRDefault="000D3A31" w:rsidP="000D3A31">
      <w:pPr>
        <w:rPr>
          <w:lang w:val="en-NZ"/>
        </w:rPr>
      </w:pPr>
      <w:r w:rsidRPr="00DB433A">
        <w:rPr>
          <w:lang w:val="en-NZ"/>
        </w:rPr>
        <w:lastRenderedPageBreak/>
        <w:t xml:space="preserve">This distribution is reasonably broad, with a mean of 11.4% based on individual schools, but a </w:t>
      </w:r>
      <w:r w:rsidRPr="00DB433A">
        <w:rPr>
          <w:u w:val="single"/>
          <w:lang w:val="en-NZ"/>
        </w:rPr>
        <w:t>weighted</w:t>
      </w:r>
      <w:r w:rsidRPr="00DB433A">
        <w:rPr>
          <w:lang w:val="en-NZ"/>
        </w:rPr>
        <w:t xml:space="preserve"> mean of 8.0% taking school size into account. This suggests that smaller schools tend to use a greater proportion of teaching support staff than larger schools. We analysed the use of teaching support staff across a range of school sizes and across deciles of schools, and these charts are provided below. The metric for these charts is the number of teachers per teaching support staff member (using FTE), i.e. the lower the metric, the greater the use of teaching support staff.</w:t>
      </w:r>
    </w:p>
    <w:p w:rsidR="000C6A93" w:rsidRPr="00BC254E" w:rsidRDefault="00F71741" w:rsidP="000D3A31">
      <w:pPr>
        <w:rPr>
          <w:b/>
          <w:lang w:val="en-NZ"/>
        </w:rPr>
      </w:pPr>
      <w:r>
        <w:rPr>
          <w:b/>
          <w:lang w:val="en-NZ"/>
        </w:rPr>
        <w:t>Average Teachers per Teacher Support (School Size)</w:t>
      </w:r>
    </w:p>
    <w:tbl>
      <w:tblPr>
        <w:tblStyle w:val="TableGrid"/>
        <w:tblW w:w="6966" w:type="dxa"/>
        <w:tblInd w:w="108" w:type="dxa"/>
        <w:tblCellMar>
          <w:left w:w="108" w:type="dxa"/>
          <w:right w:w="108" w:type="dxa"/>
        </w:tblCellMar>
        <w:tblLook w:val="04A0"/>
      </w:tblPr>
      <w:tblGrid>
        <w:gridCol w:w="6967"/>
      </w:tblGrid>
      <w:tr w:rsidR="000D3A31" w:rsidRPr="00DB433A" w:rsidTr="00CD3B8B">
        <w:trPr>
          <w:cnfStyle w:val="100000000000"/>
        </w:trPr>
        <w:tc>
          <w:tcPr>
            <w:tcW w:w="6966" w:type="dxa"/>
          </w:tcPr>
          <w:p w:rsidR="00CC576D" w:rsidRPr="0065511F" w:rsidRDefault="000D3A31" w:rsidP="00CC576D">
            <w:pPr>
              <w:spacing w:after="0"/>
              <w:jc w:val="right"/>
              <w:rPr>
                <w:lang w:val="en-NZ"/>
              </w:rPr>
            </w:pPr>
            <w:r w:rsidRPr="00DB433A">
              <w:rPr>
                <w:noProof/>
                <w:lang w:val="en-NZ" w:eastAsia="en-NZ"/>
              </w:rPr>
              <w:drawing>
                <wp:inline distT="0" distB="0" distL="0" distR="0">
                  <wp:extent cx="4235450" cy="2372264"/>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CC576D">
              <w:rPr>
                <w:i/>
                <w:lang w:val="en-NZ"/>
              </w:rPr>
              <w:t>Payroll data</w:t>
            </w:r>
            <w:r w:rsidR="00CC576D" w:rsidRPr="004B33E5">
              <w:rPr>
                <w:i/>
                <w:lang w:val="en-NZ"/>
              </w:rPr>
              <w:t xml:space="preserve">, </w:t>
            </w:r>
            <w:r w:rsidR="00CC576D">
              <w:rPr>
                <w:i/>
                <w:lang w:val="en-NZ"/>
              </w:rPr>
              <w:t>2,379</w:t>
            </w:r>
            <w:r w:rsidR="00CC576D" w:rsidRPr="004B33E5">
              <w:rPr>
                <w:i/>
                <w:lang w:val="en-NZ"/>
              </w:rPr>
              <w:t xml:space="preserve"> schools</w:t>
            </w:r>
          </w:p>
          <w:p w:rsidR="000D3A31" w:rsidRDefault="000D3A31" w:rsidP="00B53AB9">
            <w:pPr>
              <w:rPr>
                <w:lang w:val="en-NZ"/>
              </w:rPr>
            </w:pPr>
            <w:r w:rsidRPr="00DB433A">
              <w:rPr>
                <w:lang w:val="en-NZ"/>
              </w:rPr>
              <w:t>Schools with up to 120 students average 4.86 teachers per teacher support staff, whereas schools with more than 120 students average 7.71 teachers per teacher support staff.</w:t>
            </w:r>
          </w:p>
          <w:p w:rsidR="000C6A93" w:rsidRPr="00BC254E" w:rsidRDefault="00F71741">
            <w:pPr>
              <w:rPr>
                <w:b/>
                <w:lang w:val="en-NZ"/>
              </w:rPr>
            </w:pPr>
            <w:r>
              <w:rPr>
                <w:b/>
                <w:lang w:val="en-NZ"/>
              </w:rPr>
              <w:t>Average Teachers per Teacher Support (Decile)</w:t>
            </w:r>
          </w:p>
        </w:tc>
      </w:tr>
      <w:tr w:rsidR="000D3A31" w:rsidRPr="00DB433A" w:rsidTr="00CD3B8B">
        <w:tc>
          <w:tcPr>
            <w:tcW w:w="6966" w:type="dxa"/>
          </w:tcPr>
          <w:p w:rsidR="000D3A31" w:rsidRPr="00DB433A" w:rsidRDefault="000D3A31" w:rsidP="00CC576D">
            <w:pPr>
              <w:spacing w:after="0"/>
              <w:rPr>
                <w:lang w:val="en-NZ"/>
              </w:rPr>
            </w:pPr>
            <w:r w:rsidRPr="00DB433A">
              <w:rPr>
                <w:noProof/>
                <w:lang w:val="en-NZ" w:eastAsia="en-NZ"/>
              </w:rPr>
              <w:drawing>
                <wp:inline distT="0" distB="0" distL="0" distR="0">
                  <wp:extent cx="4278702" cy="2164715"/>
                  <wp:effectExtent l="0" t="0" r="762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CC576D" w:rsidRPr="0065511F" w:rsidRDefault="00CC576D" w:rsidP="00CC576D">
      <w:pPr>
        <w:jc w:val="right"/>
        <w:rPr>
          <w:lang w:val="en-NZ"/>
        </w:rPr>
      </w:pPr>
      <w:r>
        <w:rPr>
          <w:i/>
          <w:lang w:val="en-NZ"/>
        </w:rPr>
        <w:t>Payroll data</w:t>
      </w:r>
      <w:r w:rsidRPr="004B33E5">
        <w:rPr>
          <w:i/>
          <w:lang w:val="en-NZ"/>
        </w:rPr>
        <w:t xml:space="preserve">, </w:t>
      </w:r>
      <w:r>
        <w:rPr>
          <w:i/>
          <w:lang w:val="en-NZ"/>
        </w:rPr>
        <w:t>2,379</w:t>
      </w:r>
      <w:r w:rsidRPr="004B33E5">
        <w:rPr>
          <w:i/>
          <w:lang w:val="en-NZ"/>
        </w:rPr>
        <w:t xml:space="preserve"> schools</w:t>
      </w:r>
    </w:p>
    <w:p w:rsidR="000D3A31" w:rsidRPr="00DB433A" w:rsidRDefault="000D3A31" w:rsidP="000D3A31">
      <w:pPr>
        <w:rPr>
          <w:lang w:val="en-NZ"/>
        </w:rPr>
      </w:pPr>
      <w:r w:rsidRPr="00DB433A">
        <w:rPr>
          <w:lang w:val="en-NZ"/>
        </w:rPr>
        <w:t xml:space="preserve">Lower decile schools tend to employ more </w:t>
      </w:r>
      <w:r w:rsidR="000C6A93">
        <w:rPr>
          <w:lang w:val="en-NZ"/>
        </w:rPr>
        <w:t>t</w:t>
      </w:r>
      <w:r w:rsidRPr="00DB433A">
        <w:rPr>
          <w:lang w:val="en-NZ"/>
        </w:rPr>
        <w:t xml:space="preserve">eacher </w:t>
      </w:r>
      <w:r w:rsidR="000C6A93">
        <w:rPr>
          <w:lang w:val="en-NZ"/>
        </w:rPr>
        <w:t>a</w:t>
      </w:r>
      <w:r w:rsidRPr="00DB433A">
        <w:rPr>
          <w:lang w:val="en-NZ"/>
        </w:rPr>
        <w:t>ides and similar roles</w:t>
      </w:r>
      <w:r w:rsidR="00F71741">
        <w:rPr>
          <w:lang w:val="en-NZ"/>
        </w:rPr>
        <w:t xml:space="preserve"> </w:t>
      </w:r>
      <w:r w:rsidRPr="00DB433A">
        <w:rPr>
          <w:lang w:val="en-NZ"/>
        </w:rPr>
        <w:t>than higher decile schools. The average number of teachers per teacher support role is:</w:t>
      </w:r>
    </w:p>
    <w:p w:rsidR="000D3A31" w:rsidRPr="00DB433A" w:rsidRDefault="000C6A93" w:rsidP="00F50CE1">
      <w:pPr>
        <w:pStyle w:val="ListParagraph"/>
        <w:numPr>
          <w:ilvl w:val="0"/>
          <w:numId w:val="23"/>
        </w:numPr>
        <w:rPr>
          <w:lang w:val="en-NZ"/>
        </w:rPr>
      </w:pPr>
      <w:r>
        <w:rPr>
          <w:lang w:val="en-NZ"/>
        </w:rPr>
        <w:t>6.1</w:t>
      </w:r>
      <w:r w:rsidR="000D3A31" w:rsidRPr="00DB433A">
        <w:rPr>
          <w:lang w:val="en-NZ"/>
        </w:rPr>
        <w:t xml:space="preserve"> teachers for decile 1 and 2 schools</w:t>
      </w:r>
    </w:p>
    <w:p w:rsidR="000D3A31" w:rsidRPr="00DB433A" w:rsidRDefault="000D3A31" w:rsidP="00F50CE1">
      <w:pPr>
        <w:pStyle w:val="ListParagraph"/>
        <w:numPr>
          <w:ilvl w:val="0"/>
          <w:numId w:val="23"/>
        </w:numPr>
        <w:rPr>
          <w:lang w:val="en-NZ"/>
        </w:rPr>
      </w:pPr>
      <w:r w:rsidRPr="00DB433A">
        <w:rPr>
          <w:lang w:val="en-NZ"/>
        </w:rPr>
        <w:t>7.</w:t>
      </w:r>
      <w:r w:rsidR="000C6A93">
        <w:rPr>
          <w:lang w:val="en-NZ"/>
        </w:rPr>
        <w:t>5</w:t>
      </w:r>
      <w:r w:rsidRPr="00DB433A">
        <w:rPr>
          <w:lang w:val="en-NZ"/>
        </w:rPr>
        <w:t xml:space="preserve"> teachers for schools with deciles 3 to 7</w:t>
      </w:r>
    </w:p>
    <w:p w:rsidR="000D3A31" w:rsidRPr="00DB433A" w:rsidRDefault="000C6A93" w:rsidP="00F50CE1">
      <w:pPr>
        <w:pStyle w:val="ListParagraph"/>
        <w:numPr>
          <w:ilvl w:val="0"/>
          <w:numId w:val="23"/>
        </w:numPr>
        <w:rPr>
          <w:lang w:val="en-NZ"/>
        </w:rPr>
      </w:pPr>
      <w:r>
        <w:rPr>
          <w:lang w:val="en-NZ"/>
        </w:rPr>
        <w:t>8.7</w:t>
      </w:r>
      <w:r w:rsidR="000D3A31" w:rsidRPr="00DB433A">
        <w:rPr>
          <w:lang w:val="en-NZ"/>
        </w:rPr>
        <w:t xml:space="preserve"> teachers for schools with deciles 8 to 10</w:t>
      </w:r>
    </w:p>
    <w:p w:rsidR="000D3A31" w:rsidRDefault="000D3A31" w:rsidP="000D3A31">
      <w:pPr>
        <w:rPr>
          <w:lang w:val="en-NZ"/>
        </w:rPr>
      </w:pPr>
      <w:r w:rsidRPr="00DB433A">
        <w:rPr>
          <w:lang w:val="en-NZ"/>
        </w:rPr>
        <w:lastRenderedPageBreak/>
        <w:t>Both school size and decile drive schools’ usage of teaching support staff. This can be seen in the map below, which highlights the average ratio across both decile and school size.</w:t>
      </w:r>
    </w:p>
    <w:p w:rsidR="00C94731" w:rsidRPr="00C94731" w:rsidRDefault="00C94731" w:rsidP="000D3A31">
      <w:pPr>
        <w:rPr>
          <w:b/>
          <w:lang w:val="en-NZ"/>
        </w:rPr>
      </w:pPr>
      <w:r>
        <w:rPr>
          <w:b/>
          <w:lang w:val="en-NZ"/>
        </w:rPr>
        <w:t xml:space="preserve">Teachers </w:t>
      </w:r>
      <w:r w:rsidR="00F71741">
        <w:rPr>
          <w:b/>
          <w:lang w:val="en-NZ"/>
        </w:rPr>
        <w:t>per Teacher Support Ratio</w:t>
      </w:r>
    </w:p>
    <w:tbl>
      <w:tblPr>
        <w:tblStyle w:val="TableGrid"/>
        <w:tblW w:w="10206" w:type="dxa"/>
        <w:tblLook w:val="04A0"/>
      </w:tblPr>
      <w:tblGrid>
        <w:gridCol w:w="10206"/>
      </w:tblGrid>
      <w:tr w:rsidR="000D3A31" w:rsidRPr="00DB433A" w:rsidTr="00B53AB9">
        <w:trPr>
          <w:cnfStyle w:val="100000000000"/>
        </w:trPr>
        <w:tc>
          <w:tcPr>
            <w:tcW w:w="10206" w:type="dxa"/>
          </w:tcPr>
          <w:p w:rsidR="000D3A31" w:rsidRPr="00DB433A" w:rsidRDefault="00C94731" w:rsidP="00B53AB9">
            <w:pPr>
              <w:rPr>
                <w:lang w:val="en-NZ"/>
              </w:rPr>
            </w:pPr>
            <w:r w:rsidRPr="00C94731">
              <w:rPr>
                <w:noProof/>
                <w:lang w:val="en-NZ" w:eastAsia="en-NZ"/>
              </w:rPr>
              <w:drawing>
                <wp:inline distT="0" distB="0" distL="0" distR="0">
                  <wp:extent cx="4408170" cy="13284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8170" cy="1328420"/>
                          </a:xfrm>
                          <a:prstGeom prst="rect">
                            <a:avLst/>
                          </a:prstGeom>
                          <a:noFill/>
                          <a:ln>
                            <a:noFill/>
                          </a:ln>
                        </pic:spPr>
                      </pic:pic>
                    </a:graphicData>
                  </a:graphic>
                </wp:inline>
              </w:drawing>
            </w:r>
          </w:p>
        </w:tc>
      </w:tr>
    </w:tbl>
    <w:p w:rsidR="00CC576D" w:rsidRPr="0065511F" w:rsidRDefault="00CC576D" w:rsidP="00CC576D">
      <w:pPr>
        <w:jc w:val="right"/>
        <w:rPr>
          <w:lang w:val="en-NZ"/>
        </w:rPr>
      </w:pPr>
      <w:r>
        <w:rPr>
          <w:i/>
          <w:lang w:val="en-NZ"/>
        </w:rPr>
        <w:t>Payroll data</w:t>
      </w:r>
      <w:r w:rsidRPr="004B33E5">
        <w:rPr>
          <w:i/>
          <w:lang w:val="en-NZ"/>
        </w:rPr>
        <w:t xml:space="preserve">, </w:t>
      </w:r>
      <w:r>
        <w:rPr>
          <w:i/>
          <w:lang w:val="en-NZ"/>
        </w:rPr>
        <w:t>2,379</w:t>
      </w:r>
      <w:r w:rsidRPr="004B33E5">
        <w:rPr>
          <w:i/>
          <w:lang w:val="en-NZ"/>
        </w:rPr>
        <w:t xml:space="preserve"> schools</w:t>
      </w:r>
    </w:p>
    <w:p w:rsidR="000D3A31" w:rsidRPr="00DB433A" w:rsidRDefault="00CC576D" w:rsidP="000D3A31">
      <w:pPr>
        <w:rPr>
          <w:lang w:val="en-NZ"/>
        </w:rPr>
      </w:pPr>
      <w:r>
        <w:rPr>
          <w:lang w:val="en-NZ"/>
        </w:rPr>
        <w:t>Darker</w:t>
      </w:r>
      <w:r w:rsidR="000D3A31" w:rsidRPr="00DB433A">
        <w:rPr>
          <w:lang w:val="en-NZ"/>
        </w:rPr>
        <w:t xml:space="preserve"> cells indicate schools have relatively high usage of teaching support staff, green cells indicate schools have relatively low usage of teaching support staff.</w:t>
      </w:r>
    </w:p>
    <w:p w:rsidR="000D3A31" w:rsidRPr="00DB433A" w:rsidRDefault="000D3A31" w:rsidP="000D3A31">
      <w:pPr>
        <w:pStyle w:val="Heading1BlueNumbered"/>
        <w:numPr>
          <w:ilvl w:val="0"/>
          <w:numId w:val="0"/>
        </w:numPr>
        <w:ind w:left="851" w:hanging="851"/>
      </w:pPr>
      <w:r w:rsidRPr="00DB433A">
        <w:t>School types</w:t>
      </w:r>
    </w:p>
    <w:p w:rsidR="000D3A31" w:rsidRDefault="000D3A31" w:rsidP="000D3A31">
      <w:pPr>
        <w:rPr>
          <w:lang w:val="en-NZ"/>
        </w:rPr>
      </w:pPr>
      <w:r w:rsidRPr="00DB433A">
        <w:rPr>
          <w:lang w:val="en-NZ"/>
        </w:rPr>
        <w:t>Different types of schools are represented very differently in terms of the teachers per teacher support staff metric. The chart below shows what proportion of each school type has a ratio of 5 teachers or lower per teaching support FTE.</w:t>
      </w:r>
    </w:p>
    <w:p w:rsidR="000C6A93" w:rsidRPr="00BC254E" w:rsidRDefault="00F71741" w:rsidP="000D3A31">
      <w:pPr>
        <w:rPr>
          <w:b/>
          <w:lang w:val="en-NZ"/>
        </w:rPr>
      </w:pPr>
      <w:r>
        <w:rPr>
          <w:b/>
          <w:lang w:val="en-NZ"/>
        </w:rPr>
        <w:t>Schools with less than 5 Teachers per Teaching Support Staff</w:t>
      </w:r>
    </w:p>
    <w:tbl>
      <w:tblPr>
        <w:tblStyle w:val="TableGrid"/>
        <w:tblW w:w="0" w:type="auto"/>
        <w:tblInd w:w="108" w:type="dxa"/>
        <w:tblCellMar>
          <w:left w:w="108" w:type="dxa"/>
          <w:right w:w="108" w:type="dxa"/>
        </w:tblCellMar>
        <w:tblLook w:val="04A0"/>
      </w:tblPr>
      <w:tblGrid>
        <w:gridCol w:w="7053"/>
      </w:tblGrid>
      <w:tr w:rsidR="000D3A31" w:rsidRPr="00DB433A" w:rsidTr="0053387E">
        <w:trPr>
          <w:cnfStyle w:val="100000000000"/>
        </w:trPr>
        <w:tc>
          <w:tcPr>
            <w:tcW w:w="7053" w:type="dxa"/>
          </w:tcPr>
          <w:p w:rsidR="000D3A31" w:rsidRPr="00DB433A" w:rsidRDefault="000D3A31" w:rsidP="0053387E">
            <w:pPr>
              <w:spacing w:after="0"/>
              <w:rPr>
                <w:lang w:val="en-NZ"/>
              </w:rPr>
            </w:pPr>
            <w:r w:rsidRPr="00DB433A">
              <w:rPr>
                <w:noProof/>
                <w:lang w:val="en-NZ" w:eastAsia="en-NZ"/>
              </w:rPr>
              <w:drawing>
                <wp:inline distT="0" distB="0" distL="0" distR="0">
                  <wp:extent cx="4572000" cy="225149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53387E" w:rsidRPr="0065511F" w:rsidRDefault="0053387E" w:rsidP="0053387E">
      <w:pPr>
        <w:jc w:val="right"/>
        <w:rPr>
          <w:lang w:val="en-NZ"/>
        </w:rPr>
      </w:pPr>
      <w:r>
        <w:rPr>
          <w:i/>
          <w:lang w:val="en-NZ"/>
        </w:rPr>
        <w:t>Payroll data</w:t>
      </w:r>
      <w:r w:rsidRPr="004B33E5">
        <w:rPr>
          <w:i/>
          <w:lang w:val="en-NZ"/>
        </w:rPr>
        <w:t xml:space="preserve">, </w:t>
      </w:r>
      <w:r>
        <w:rPr>
          <w:i/>
          <w:lang w:val="en-NZ"/>
        </w:rPr>
        <w:t>2,379</w:t>
      </w:r>
      <w:r w:rsidRPr="004B33E5">
        <w:rPr>
          <w:i/>
          <w:lang w:val="en-NZ"/>
        </w:rPr>
        <w:t xml:space="preserve"> schools</w:t>
      </w:r>
    </w:p>
    <w:p w:rsidR="000D3A31" w:rsidRPr="00DB433A" w:rsidRDefault="000D3A31" w:rsidP="000D3A31">
      <w:pPr>
        <w:rPr>
          <w:lang w:val="en-NZ"/>
        </w:rPr>
      </w:pPr>
      <w:r w:rsidRPr="00DB433A">
        <w:rPr>
          <w:lang w:val="en-NZ"/>
        </w:rPr>
        <w:t>The majority of Intermediate schools (79 out of 115 in this sample) have more than 300 students, as do the majority of secondary schools (273 out of 323 in this sample).</w:t>
      </w:r>
    </w:p>
    <w:p w:rsidR="000D3A31" w:rsidRPr="00DB433A" w:rsidRDefault="000D3A31" w:rsidP="000D3A31">
      <w:pPr>
        <w:rPr>
          <w:lang w:val="en-NZ"/>
        </w:rPr>
      </w:pPr>
      <w:r w:rsidRPr="00DB433A">
        <w:rPr>
          <w:lang w:val="en-NZ"/>
        </w:rPr>
        <w:t>Conversely, the majority of primary schools (1,307 out of 1,815 in this sample) have 300 students or fewer, and nearly 50% have 160 students or fewer.</w:t>
      </w:r>
    </w:p>
    <w:p w:rsidR="000D3A31" w:rsidRPr="00DB433A" w:rsidRDefault="000D3A31" w:rsidP="000D3A31">
      <w:pPr>
        <w:rPr>
          <w:lang w:val="en-NZ"/>
        </w:rPr>
      </w:pPr>
    </w:p>
    <w:p w:rsidR="000D3A31" w:rsidRPr="00DB433A" w:rsidRDefault="000D3A31" w:rsidP="000D3A31">
      <w:pPr>
        <w:pStyle w:val="Sectionintro"/>
        <w:rPr>
          <w:lang w:val="en-NZ"/>
        </w:rPr>
      </w:pPr>
      <w:r w:rsidRPr="00DB433A">
        <w:rPr>
          <w:lang w:val="en-NZ"/>
        </w:rPr>
        <w:lastRenderedPageBreak/>
        <w:t>Relieving teachers</w:t>
      </w:r>
    </w:p>
    <w:p w:rsidR="000D3A31" w:rsidRPr="00DB433A" w:rsidRDefault="000D3A31" w:rsidP="000D3A31">
      <w:pPr>
        <w:rPr>
          <w:lang w:val="en-NZ"/>
        </w:rPr>
      </w:pPr>
      <w:r w:rsidRPr="00DB433A">
        <w:rPr>
          <w:lang w:val="en-NZ"/>
        </w:rPr>
        <w:t>For this analysis, we have excluded Special Schools and used information in the Schools Payroll system to distinguish between relieving teachers (Relievers) and those on permanent or fixed contracts (Regular Teachers).</w:t>
      </w:r>
    </w:p>
    <w:p w:rsidR="000D3A31" w:rsidRDefault="000D3A31" w:rsidP="000D3A31">
      <w:pPr>
        <w:rPr>
          <w:lang w:val="en-NZ"/>
        </w:rPr>
      </w:pPr>
      <w:r w:rsidRPr="00DB433A">
        <w:rPr>
          <w:lang w:val="en-NZ"/>
        </w:rPr>
        <w:t>The chart below shows the distribution across schools of the teaching support staff as a proportion of total teaching staff (on an FTE basis):</w:t>
      </w:r>
    </w:p>
    <w:p w:rsidR="00931664" w:rsidRPr="00BC254E" w:rsidRDefault="00931664" w:rsidP="000D3A31">
      <w:pPr>
        <w:rPr>
          <w:b/>
          <w:lang w:val="en-NZ"/>
        </w:rPr>
      </w:pPr>
      <w:r>
        <w:rPr>
          <w:b/>
          <w:lang w:val="en-NZ"/>
        </w:rPr>
        <w:t>Proportion of Total Teaching Staff</w:t>
      </w:r>
    </w:p>
    <w:tbl>
      <w:tblPr>
        <w:tblStyle w:val="TableGrid"/>
        <w:tblW w:w="10206" w:type="dxa"/>
        <w:tblInd w:w="108" w:type="dxa"/>
        <w:tblCellMar>
          <w:left w:w="108" w:type="dxa"/>
          <w:right w:w="108" w:type="dxa"/>
        </w:tblCellMar>
        <w:tblLook w:val="04A0"/>
      </w:tblPr>
      <w:tblGrid>
        <w:gridCol w:w="10206"/>
      </w:tblGrid>
      <w:tr w:rsidR="000D3A31" w:rsidRPr="00DB433A" w:rsidTr="00B53AB9">
        <w:trPr>
          <w:cnfStyle w:val="100000000000"/>
        </w:trPr>
        <w:tc>
          <w:tcPr>
            <w:tcW w:w="10206" w:type="dxa"/>
          </w:tcPr>
          <w:p w:rsidR="000D3A31" w:rsidRPr="00DB433A" w:rsidRDefault="000D3A31" w:rsidP="0053387E">
            <w:pPr>
              <w:spacing w:after="0"/>
              <w:rPr>
                <w:lang w:val="en-NZ"/>
              </w:rPr>
            </w:pPr>
            <w:r w:rsidRPr="00DB433A">
              <w:rPr>
                <w:noProof/>
                <w:lang w:val="en-NZ" w:eastAsia="en-NZ"/>
              </w:rPr>
              <w:drawing>
                <wp:inline distT="0" distB="0" distL="0" distR="0">
                  <wp:extent cx="4209691" cy="2216989"/>
                  <wp:effectExtent l="0" t="0" r="63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53387E" w:rsidRPr="0065511F" w:rsidRDefault="0053387E" w:rsidP="0053387E">
      <w:pPr>
        <w:jc w:val="right"/>
        <w:rPr>
          <w:lang w:val="en-NZ"/>
        </w:rPr>
      </w:pPr>
      <w:r>
        <w:rPr>
          <w:i/>
          <w:lang w:val="en-NZ"/>
        </w:rPr>
        <w:t>Payroll data</w:t>
      </w:r>
      <w:r w:rsidRPr="004B33E5">
        <w:rPr>
          <w:i/>
          <w:lang w:val="en-NZ"/>
        </w:rPr>
        <w:t xml:space="preserve">, </w:t>
      </w:r>
      <w:r>
        <w:rPr>
          <w:i/>
          <w:lang w:val="en-NZ"/>
        </w:rPr>
        <w:t>2,379</w:t>
      </w:r>
      <w:r w:rsidRPr="004B33E5">
        <w:rPr>
          <w:i/>
          <w:lang w:val="en-NZ"/>
        </w:rPr>
        <w:t xml:space="preserve"> schools</w:t>
      </w:r>
    </w:p>
    <w:p w:rsidR="000D3A31" w:rsidRDefault="000D3A31" w:rsidP="000D3A31">
      <w:pPr>
        <w:rPr>
          <w:lang w:val="en-NZ"/>
        </w:rPr>
      </w:pPr>
      <w:r w:rsidRPr="00DB433A">
        <w:rPr>
          <w:lang w:val="en-NZ"/>
        </w:rPr>
        <w:t xml:space="preserve">This distribution is reasonably broad, with a mean of 6.2% based on individual schools, but a </w:t>
      </w:r>
      <w:r w:rsidRPr="00DB433A">
        <w:rPr>
          <w:u w:val="single"/>
          <w:lang w:val="en-NZ"/>
        </w:rPr>
        <w:t>weighted</w:t>
      </w:r>
      <w:r w:rsidRPr="00DB433A">
        <w:rPr>
          <w:lang w:val="en-NZ"/>
        </w:rPr>
        <w:t xml:space="preserve"> mean of 5.0% taking school size into account. This suggests that smaller schools tend to use a greater proportion of Relieving Teachers than larger schools. We analysed the use of Relievers across a range of school sizes and across deciles of schools, and these charts are provided below. The metric for these charts is the number of Regular Teachers per Reliever (using FTE), i.e. the lower the metric, the greater the use of Relievers.</w:t>
      </w:r>
    </w:p>
    <w:p w:rsidR="00F71741" w:rsidRPr="00BC254E" w:rsidRDefault="00F71741" w:rsidP="000D3A31">
      <w:pPr>
        <w:rPr>
          <w:b/>
          <w:lang w:val="en-NZ"/>
        </w:rPr>
      </w:pPr>
      <w:r>
        <w:rPr>
          <w:b/>
          <w:lang w:val="en-NZ"/>
        </w:rPr>
        <w:t xml:space="preserve">Average </w:t>
      </w:r>
      <w:r w:rsidR="006E778C">
        <w:rPr>
          <w:b/>
          <w:lang w:val="en-NZ"/>
        </w:rPr>
        <w:t xml:space="preserve">Regular </w:t>
      </w:r>
      <w:r>
        <w:rPr>
          <w:b/>
          <w:lang w:val="en-NZ"/>
        </w:rPr>
        <w:t>Teachers per Reliever</w:t>
      </w:r>
    </w:p>
    <w:tbl>
      <w:tblPr>
        <w:tblStyle w:val="TableGrid"/>
        <w:tblW w:w="9356" w:type="dxa"/>
        <w:tblInd w:w="108" w:type="dxa"/>
        <w:tblCellMar>
          <w:left w:w="108" w:type="dxa"/>
          <w:right w:w="108" w:type="dxa"/>
        </w:tblCellMar>
        <w:tblLook w:val="04A0"/>
      </w:tblPr>
      <w:tblGrid>
        <w:gridCol w:w="9356"/>
      </w:tblGrid>
      <w:tr w:rsidR="000D3A31" w:rsidRPr="00DB433A" w:rsidTr="00B53AB9">
        <w:trPr>
          <w:cnfStyle w:val="100000000000"/>
        </w:trPr>
        <w:tc>
          <w:tcPr>
            <w:tcW w:w="93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D3A31" w:rsidRPr="00DB433A" w:rsidRDefault="000D3A31" w:rsidP="00B53AB9">
            <w:pPr>
              <w:rPr>
                <w:lang w:val="en-NZ"/>
              </w:rPr>
            </w:pPr>
            <w:r w:rsidRPr="00DB433A">
              <w:rPr>
                <w:noProof/>
                <w:lang w:val="en-NZ" w:eastAsia="en-NZ"/>
              </w:rPr>
              <w:drawing>
                <wp:inline distT="0" distB="0" distL="0" distR="0">
                  <wp:extent cx="4572000" cy="2268748"/>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0D3A31" w:rsidRPr="00DB433A" w:rsidTr="00B53AB9">
        <w:tc>
          <w:tcPr>
            <w:tcW w:w="9356" w:type="dxa"/>
          </w:tcPr>
          <w:p w:rsidR="000D3A31" w:rsidRPr="00DB433A" w:rsidRDefault="000D3A31" w:rsidP="00B53AB9">
            <w:pPr>
              <w:rPr>
                <w:lang w:val="en-NZ"/>
              </w:rPr>
            </w:pPr>
            <w:r w:rsidRPr="00DB433A">
              <w:rPr>
                <w:lang w:val="en-NZ"/>
              </w:rPr>
              <w:t>The average number of Regular Teachers per Reliever (on an FTE basis) is:</w:t>
            </w:r>
          </w:p>
          <w:p w:rsidR="000D3A31" w:rsidRPr="00DB433A" w:rsidRDefault="000D3A31" w:rsidP="00F50CE1">
            <w:pPr>
              <w:pStyle w:val="ListParagraph"/>
              <w:numPr>
                <w:ilvl w:val="0"/>
                <w:numId w:val="21"/>
              </w:numPr>
              <w:rPr>
                <w:lang w:val="en-NZ"/>
              </w:rPr>
            </w:pPr>
            <w:r w:rsidRPr="00DB433A">
              <w:rPr>
                <w:lang w:val="en-NZ"/>
              </w:rPr>
              <w:lastRenderedPageBreak/>
              <w:t>14.81 for schools with up to 160 students</w:t>
            </w:r>
          </w:p>
          <w:p w:rsidR="000D3A31" w:rsidRPr="00DB433A" w:rsidRDefault="000D3A31" w:rsidP="00F50CE1">
            <w:pPr>
              <w:pStyle w:val="ListParagraph"/>
              <w:numPr>
                <w:ilvl w:val="0"/>
                <w:numId w:val="21"/>
              </w:numPr>
              <w:rPr>
                <w:lang w:val="en-NZ"/>
              </w:rPr>
            </w:pPr>
            <w:r w:rsidRPr="00DB433A">
              <w:rPr>
                <w:lang w:val="en-NZ"/>
              </w:rPr>
              <w:t>17.97 for schools with 161 to 750 students</w:t>
            </w:r>
          </w:p>
          <w:p w:rsidR="000D3A31" w:rsidRPr="00DB433A" w:rsidRDefault="000D3A31" w:rsidP="00F50CE1">
            <w:pPr>
              <w:pStyle w:val="ListParagraph"/>
              <w:numPr>
                <w:ilvl w:val="0"/>
                <w:numId w:val="21"/>
              </w:numPr>
              <w:rPr>
                <w:lang w:val="en-NZ"/>
              </w:rPr>
            </w:pPr>
            <w:r w:rsidRPr="00DB433A">
              <w:rPr>
                <w:lang w:val="en-NZ"/>
              </w:rPr>
              <w:t>24.15 for schools with more than 750 students</w:t>
            </w:r>
          </w:p>
          <w:p w:rsidR="000D3A31" w:rsidRDefault="000D3A31" w:rsidP="00B53AB9">
            <w:pPr>
              <w:rPr>
                <w:lang w:val="en-NZ"/>
              </w:rPr>
            </w:pPr>
            <w:r w:rsidRPr="00DB433A">
              <w:rPr>
                <w:lang w:val="en-NZ"/>
              </w:rPr>
              <w:t>The average ratio across all these schools is 18.98 teachers per Reliever.</w:t>
            </w:r>
          </w:p>
          <w:p w:rsidR="000C4BCB" w:rsidRPr="00BC254E" w:rsidRDefault="000C4BCB" w:rsidP="00B53AB9">
            <w:pPr>
              <w:rPr>
                <w:b/>
                <w:lang w:val="en-NZ"/>
              </w:rPr>
            </w:pPr>
            <w:r w:rsidRPr="00BC254E">
              <w:rPr>
                <w:b/>
                <w:lang w:val="en-NZ"/>
              </w:rPr>
              <w:t xml:space="preserve">Average </w:t>
            </w:r>
            <w:r w:rsidR="006E778C">
              <w:rPr>
                <w:b/>
                <w:lang w:val="en-NZ"/>
              </w:rPr>
              <w:t xml:space="preserve">Regular </w:t>
            </w:r>
            <w:r w:rsidRPr="00BC254E">
              <w:rPr>
                <w:b/>
                <w:lang w:val="en-NZ"/>
              </w:rPr>
              <w:t>Teachers per Reliever</w:t>
            </w:r>
          </w:p>
        </w:tc>
      </w:tr>
      <w:tr w:rsidR="000D3A31" w:rsidRPr="00DB433A" w:rsidTr="00B53AB9">
        <w:tc>
          <w:tcPr>
            <w:tcW w:w="9356" w:type="dxa"/>
          </w:tcPr>
          <w:p w:rsidR="000D3A31" w:rsidRPr="00DB433A" w:rsidRDefault="000D3A31" w:rsidP="0053387E">
            <w:pPr>
              <w:spacing w:after="0"/>
              <w:rPr>
                <w:noProof/>
                <w:lang w:val="en-NZ" w:eastAsia="en-NZ"/>
              </w:rPr>
            </w:pPr>
            <w:r w:rsidRPr="00DB433A">
              <w:rPr>
                <w:noProof/>
                <w:lang w:val="en-NZ" w:eastAsia="en-NZ"/>
              </w:rPr>
              <w:lastRenderedPageBreak/>
              <w:drawing>
                <wp:inline distT="0" distB="0" distL="0" distR="0">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53387E" w:rsidRPr="0065511F" w:rsidRDefault="0053387E" w:rsidP="0053387E">
      <w:pPr>
        <w:jc w:val="right"/>
        <w:rPr>
          <w:lang w:val="en-NZ"/>
        </w:rPr>
      </w:pPr>
      <w:r>
        <w:rPr>
          <w:i/>
          <w:lang w:val="en-NZ"/>
        </w:rPr>
        <w:t>Payroll data</w:t>
      </w:r>
      <w:r w:rsidRPr="004B33E5">
        <w:rPr>
          <w:i/>
          <w:lang w:val="en-NZ"/>
        </w:rPr>
        <w:t xml:space="preserve">, </w:t>
      </w:r>
      <w:r>
        <w:rPr>
          <w:i/>
          <w:lang w:val="en-NZ"/>
        </w:rPr>
        <w:t>2,379</w:t>
      </w:r>
      <w:r w:rsidRPr="004B33E5">
        <w:rPr>
          <w:i/>
          <w:lang w:val="en-NZ"/>
        </w:rPr>
        <w:t xml:space="preserve"> schools</w:t>
      </w:r>
    </w:p>
    <w:p w:rsidR="000D3A31" w:rsidRPr="00DB433A" w:rsidRDefault="000D3A31" w:rsidP="000D3A31">
      <w:pPr>
        <w:rPr>
          <w:lang w:val="en-NZ"/>
        </w:rPr>
      </w:pPr>
      <w:r w:rsidRPr="00DB433A">
        <w:rPr>
          <w:lang w:val="en-NZ"/>
        </w:rPr>
        <w:t>The pattern across deciles is far less clear. While the decile 1 and 2 schools have slightly higher use of Relievers than the overall average (ratio of 17.49 cf 18.98 on average), this is due to a greater proportion of lower decile schools being small.</w:t>
      </w:r>
    </w:p>
    <w:p w:rsidR="000D3A31" w:rsidRDefault="000D3A31" w:rsidP="000D3A31">
      <w:pPr>
        <w:rPr>
          <w:lang w:val="en-NZ"/>
        </w:rPr>
      </w:pPr>
      <w:r w:rsidRPr="00DB433A">
        <w:rPr>
          <w:lang w:val="en-NZ"/>
        </w:rPr>
        <w:t>Taking school size and deciles into account, higher decile schools tend to employ slightly more Relieving Teachers than lower decile schools for smaller-size schools, though the trend is not significant. This can be seen in the map below, which highlights the average ratio across both decile and school size.</w:t>
      </w:r>
    </w:p>
    <w:p w:rsidR="00BE062C" w:rsidRPr="00BE062C" w:rsidRDefault="00BE062C" w:rsidP="000D3A31">
      <w:pPr>
        <w:rPr>
          <w:b/>
          <w:lang w:val="en-NZ"/>
        </w:rPr>
      </w:pPr>
      <w:r>
        <w:rPr>
          <w:b/>
          <w:lang w:val="en-NZ"/>
        </w:rPr>
        <w:t>Teachers per Relief Teacher</w:t>
      </w:r>
    </w:p>
    <w:tbl>
      <w:tblPr>
        <w:tblStyle w:val="TableGrid"/>
        <w:tblW w:w="10065" w:type="dxa"/>
        <w:tblLook w:val="04A0"/>
      </w:tblPr>
      <w:tblGrid>
        <w:gridCol w:w="10065"/>
      </w:tblGrid>
      <w:tr w:rsidR="000D3A31" w:rsidRPr="00DB433A" w:rsidTr="00B53AB9">
        <w:trPr>
          <w:cnfStyle w:val="100000000000"/>
        </w:trPr>
        <w:tc>
          <w:tcPr>
            <w:tcW w:w="10065" w:type="dxa"/>
          </w:tcPr>
          <w:p w:rsidR="000D3A31" w:rsidRPr="00DB433A" w:rsidRDefault="00BE062C" w:rsidP="00B53AB9">
            <w:pPr>
              <w:rPr>
                <w:lang w:val="en-NZ"/>
              </w:rPr>
            </w:pPr>
            <w:r w:rsidRPr="00BE062C">
              <w:rPr>
                <w:noProof/>
                <w:lang w:val="en-NZ" w:eastAsia="en-NZ"/>
              </w:rPr>
              <w:drawing>
                <wp:inline distT="0" distB="0" distL="0" distR="0">
                  <wp:extent cx="4405630" cy="11576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5630" cy="1157605"/>
                          </a:xfrm>
                          <a:prstGeom prst="rect">
                            <a:avLst/>
                          </a:prstGeom>
                          <a:noFill/>
                          <a:ln>
                            <a:noFill/>
                          </a:ln>
                        </pic:spPr>
                      </pic:pic>
                    </a:graphicData>
                  </a:graphic>
                </wp:inline>
              </w:drawing>
            </w:r>
          </w:p>
        </w:tc>
      </w:tr>
    </w:tbl>
    <w:p w:rsidR="0053387E" w:rsidRPr="0065511F" w:rsidRDefault="0053387E" w:rsidP="0053387E">
      <w:pPr>
        <w:jc w:val="right"/>
        <w:rPr>
          <w:lang w:val="en-NZ"/>
        </w:rPr>
      </w:pPr>
      <w:r>
        <w:rPr>
          <w:i/>
          <w:lang w:val="en-NZ"/>
        </w:rPr>
        <w:t>Payroll data</w:t>
      </w:r>
      <w:r w:rsidRPr="004B33E5">
        <w:rPr>
          <w:i/>
          <w:lang w:val="en-NZ"/>
        </w:rPr>
        <w:t xml:space="preserve">, </w:t>
      </w:r>
      <w:r>
        <w:rPr>
          <w:i/>
          <w:lang w:val="en-NZ"/>
        </w:rPr>
        <w:t>2,379</w:t>
      </w:r>
      <w:r w:rsidRPr="004B33E5">
        <w:rPr>
          <w:i/>
          <w:lang w:val="en-NZ"/>
        </w:rPr>
        <w:t xml:space="preserve"> schools</w:t>
      </w:r>
    </w:p>
    <w:p w:rsidR="000D3A31" w:rsidRPr="00DB433A" w:rsidRDefault="000D3A31" w:rsidP="000D3A31">
      <w:pPr>
        <w:pStyle w:val="Heading1BlueNumbered"/>
        <w:numPr>
          <w:ilvl w:val="0"/>
          <w:numId w:val="0"/>
        </w:numPr>
        <w:ind w:left="851" w:hanging="851"/>
      </w:pPr>
      <w:r w:rsidRPr="00DB433A">
        <w:t>School types</w:t>
      </w:r>
    </w:p>
    <w:p w:rsidR="000D3A31" w:rsidRDefault="000D3A31" w:rsidP="000D3A31">
      <w:pPr>
        <w:rPr>
          <w:lang w:val="en-NZ"/>
        </w:rPr>
      </w:pPr>
      <w:r w:rsidRPr="00DB433A">
        <w:rPr>
          <w:lang w:val="en-NZ"/>
        </w:rPr>
        <w:t>Different types of schools are represented very differently in terms of the Regular Teachers per Reliever metric. The chart below shows what proportion of each school type has a ratio of 12 or lower.</w:t>
      </w:r>
    </w:p>
    <w:p w:rsidR="00F71741" w:rsidRPr="00BC254E" w:rsidRDefault="00F71741" w:rsidP="000D3A31">
      <w:pPr>
        <w:rPr>
          <w:b/>
          <w:lang w:val="en-NZ"/>
        </w:rPr>
      </w:pPr>
      <w:r>
        <w:rPr>
          <w:b/>
          <w:lang w:val="en-NZ"/>
        </w:rPr>
        <w:lastRenderedPageBreak/>
        <w:t>Schools with fewer than 12 Teachers per Reliever</w:t>
      </w:r>
    </w:p>
    <w:tbl>
      <w:tblPr>
        <w:tblStyle w:val="TableGrid"/>
        <w:tblW w:w="0" w:type="auto"/>
        <w:tblInd w:w="108" w:type="dxa"/>
        <w:tblCellMar>
          <w:left w:w="108" w:type="dxa"/>
          <w:right w:w="108" w:type="dxa"/>
        </w:tblCellMar>
        <w:tblLook w:val="04A0"/>
      </w:tblPr>
      <w:tblGrid>
        <w:gridCol w:w="7053"/>
      </w:tblGrid>
      <w:tr w:rsidR="000D3A31" w:rsidRPr="00DB433A" w:rsidTr="00B53AB9">
        <w:trPr>
          <w:cnfStyle w:val="100000000000"/>
        </w:trPr>
        <w:tc>
          <w:tcPr>
            <w:tcW w:w="7053" w:type="dxa"/>
          </w:tcPr>
          <w:p w:rsidR="000D3A31" w:rsidRPr="00DB433A" w:rsidRDefault="000D3A31" w:rsidP="0053387E">
            <w:pPr>
              <w:spacing w:after="0"/>
              <w:rPr>
                <w:lang w:val="en-NZ"/>
              </w:rPr>
            </w:pPr>
            <w:r w:rsidRPr="00DB433A">
              <w:rPr>
                <w:noProof/>
                <w:lang w:val="en-NZ" w:eastAsia="en-NZ"/>
              </w:rPr>
              <w:drawing>
                <wp:inline distT="0" distB="0" distL="0" distR="0">
                  <wp:extent cx="4157345" cy="219111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rsidR="0053387E" w:rsidRPr="0065511F" w:rsidRDefault="0053387E" w:rsidP="0053387E">
      <w:pPr>
        <w:jc w:val="right"/>
        <w:rPr>
          <w:lang w:val="en-NZ"/>
        </w:rPr>
      </w:pPr>
      <w:r>
        <w:rPr>
          <w:i/>
          <w:lang w:val="en-NZ"/>
        </w:rPr>
        <w:t>Payroll data</w:t>
      </w:r>
      <w:r w:rsidRPr="004B33E5">
        <w:rPr>
          <w:i/>
          <w:lang w:val="en-NZ"/>
        </w:rPr>
        <w:t xml:space="preserve">, </w:t>
      </w:r>
      <w:r>
        <w:rPr>
          <w:i/>
          <w:lang w:val="en-NZ"/>
        </w:rPr>
        <w:t>2,379</w:t>
      </w:r>
      <w:r w:rsidRPr="004B33E5">
        <w:rPr>
          <w:i/>
          <w:lang w:val="en-NZ"/>
        </w:rPr>
        <w:t xml:space="preserve"> schools</w:t>
      </w:r>
    </w:p>
    <w:p w:rsidR="000D3A31" w:rsidRDefault="000D3A31" w:rsidP="000D3A31">
      <w:pPr>
        <w:rPr>
          <w:lang w:val="en-NZ"/>
        </w:rPr>
      </w:pPr>
      <w:r w:rsidRPr="00DB433A">
        <w:rPr>
          <w:lang w:val="en-NZ"/>
        </w:rPr>
        <w:t>The same comments about size apply as for the teaching support role discussion above. With only one out of 323 secondary schools having a ratio of 12 or lower, compared with 32% of primary schools, clearly the type of school is a factor in relatively high use of Relievers.</w:t>
      </w:r>
    </w:p>
    <w:p w:rsidR="000D3A31" w:rsidRPr="00DB433A" w:rsidRDefault="000D3A31" w:rsidP="000D3A31">
      <w:pPr>
        <w:pStyle w:val="Sectionintro"/>
        <w:rPr>
          <w:lang w:val="en-NZ"/>
        </w:rPr>
      </w:pPr>
      <w:r w:rsidRPr="00DB433A">
        <w:rPr>
          <w:lang w:val="en-NZ"/>
        </w:rPr>
        <w:t>Conclusions</w:t>
      </w:r>
    </w:p>
    <w:p w:rsidR="000D3A31" w:rsidRPr="00DB433A" w:rsidRDefault="000D3A31" w:rsidP="000D3A31">
      <w:pPr>
        <w:pStyle w:val="Heading1BlueNumbered"/>
        <w:numPr>
          <w:ilvl w:val="0"/>
          <w:numId w:val="0"/>
        </w:numPr>
        <w:ind w:left="851" w:hanging="851"/>
      </w:pPr>
      <w:r w:rsidRPr="00DB433A">
        <w:t xml:space="preserve">Relatively high use of both teaching support and </w:t>
      </w:r>
      <w:r w:rsidR="006E778C">
        <w:t>R</w:t>
      </w:r>
      <w:r w:rsidRPr="00DB433A">
        <w:t>elievers</w:t>
      </w:r>
    </w:p>
    <w:p w:rsidR="000D3A31" w:rsidRPr="00DB433A" w:rsidRDefault="000D3A31" w:rsidP="000D3A31">
      <w:pPr>
        <w:rPr>
          <w:lang w:val="en-NZ"/>
        </w:rPr>
      </w:pPr>
      <w:r w:rsidRPr="00DB433A">
        <w:rPr>
          <w:lang w:val="en-NZ"/>
        </w:rPr>
        <w:t xml:space="preserve">The analyses for teaching support staff and Relievers above suggest that small schools tend to make relatively high use of both teaching support staff </w:t>
      </w:r>
      <w:r w:rsidRPr="00DB433A">
        <w:rPr>
          <w:u w:val="single"/>
          <w:lang w:val="en-NZ"/>
        </w:rPr>
        <w:t>and</w:t>
      </w:r>
      <w:r w:rsidRPr="00DB433A">
        <w:rPr>
          <w:lang w:val="en-NZ"/>
        </w:rPr>
        <w:t xml:space="preserve"> Relievers.</w:t>
      </w:r>
    </w:p>
    <w:p w:rsidR="000D3A31" w:rsidRPr="00DB433A" w:rsidRDefault="000D3A31" w:rsidP="000D3A31">
      <w:pPr>
        <w:rPr>
          <w:lang w:val="en-NZ"/>
        </w:rPr>
      </w:pPr>
      <w:r w:rsidRPr="00DB433A">
        <w:rPr>
          <w:lang w:val="en-NZ"/>
        </w:rPr>
        <w:t>We have analysed the overlap between those schools that have:</w:t>
      </w:r>
    </w:p>
    <w:p w:rsidR="000D3A31" w:rsidRPr="00DB433A" w:rsidRDefault="000D3A31" w:rsidP="00F50CE1">
      <w:pPr>
        <w:pStyle w:val="ListParagraph"/>
        <w:numPr>
          <w:ilvl w:val="0"/>
          <w:numId w:val="26"/>
        </w:numPr>
        <w:rPr>
          <w:lang w:val="en-NZ"/>
        </w:rPr>
      </w:pPr>
      <w:r w:rsidRPr="00DB433A">
        <w:rPr>
          <w:lang w:val="en-NZ"/>
        </w:rPr>
        <w:t>A ratio of 5 or lower for teachers per teaching support staff FTE</w:t>
      </w:r>
    </w:p>
    <w:p w:rsidR="000D3A31" w:rsidRPr="00DB433A" w:rsidRDefault="000D3A31" w:rsidP="00F50CE1">
      <w:pPr>
        <w:pStyle w:val="ListParagraph"/>
        <w:numPr>
          <w:ilvl w:val="0"/>
          <w:numId w:val="26"/>
        </w:numPr>
        <w:rPr>
          <w:lang w:val="en-NZ"/>
        </w:rPr>
      </w:pPr>
      <w:r w:rsidRPr="00DB433A">
        <w:rPr>
          <w:lang w:val="en-NZ"/>
        </w:rPr>
        <w:t>A ratio of 12 or lower for Regular Teachers per Reliever FTE</w:t>
      </w:r>
    </w:p>
    <w:p w:rsidR="000D3A31" w:rsidRPr="00DB433A" w:rsidRDefault="000D3A31" w:rsidP="000D3A31">
      <w:pPr>
        <w:rPr>
          <w:lang w:val="en-NZ"/>
        </w:rPr>
      </w:pPr>
      <w:r w:rsidRPr="00DB433A">
        <w:rPr>
          <w:lang w:val="en-NZ"/>
        </w:rPr>
        <w:t xml:space="preserve">Only about a third of those with low teachers per teaching support FTE also have low </w:t>
      </w:r>
      <w:r w:rsidR="00276320">
        <w:rPr>
          <w:lang w:val="en-NZ"/>
        </w:rPr>
        <w:t>R</w:t>
      </w:r>
      <w:r w:rsidRPr="00DB433A">
        <w:rPr>
          <w:lang w:val="en-NZ"/>
        </w:rPr>
        <w:t xml:space="preserve">egular </w:t>
      </w:r>
      <w:r w:rsidR="00276320">
        <w:rPr>
          <w:lang w:val="en-NZ"/>
        </w:rPr>
        <w:t>T</w:t>
      </w:r>
      <w:r w:rsidRPr="00DB433A">
        <w:rPr>
          <w:lang w:val="en-NZ"/>
        </w:rPr>
        <w:t xml:space="preserve">eachers per </w:t>
      </w:r>
      <w:r w:rsidR="006E778C">
        <w:rPr>
          <w:lang w:val="en-NZ"/>
        </w:rPr>
        <w:t>R</w:t>
      </w:r>
      <w:r w:rsidRPr="00DB433A">
        <w:rPr>
          <w:lang w:val="en-NZ"/>
        </w:rPr>
        <w:t>eliever FTE.</w:t>
      </w:r>
    </w:p>
    <w:tbl>
      <w:tblPr>
        <w:tblStyle w:val="TableGrid"/>
        <w:tblW w:w="0" w:type="auto"/>
        <w:tblLook w:val="04A0"/>
      </w:tblPr>
      <w:tblGrid>
        <w:gridCol w:w="6945"/>
      </w:tblGrid>
      <w:tr w:rsidR="000D3A31" w:rsidRPr="00DB433A" w:rsidTr="00B53AB9">
        <w:trPr>
          <w:cnfStyle w:val="100000000000"/>
        </w:trPr>
        <w:tc>
          <w:tcPr>
            <w:tcW w:w="7161" w:type="dxa"/>
          </w:tcPr>
          <w:p w:rsidR="000D3A31" w:rsidRPr="00DB433A" w:rsidRDefault="000D3A31" w:rsidP="00B53AB9">
            <w:pPr>
              <w:rPr>
                <w:lang w:val="en-NZ"/>
              </w:rPr>
            </w:pPr>
            <w:r w:rsidRPr="00DB433A">
              <w:rPr>
                <w:noProof/>
                <w:lang w:val="en-NZ" w:eastAsia="en-NZ"/>
              </w:rPr>
              <w:drawing>
                <wp:inline distT="0" distB="0" distL="0" distR="0">
                  <wp:extent cx="4412615" cy="12122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2615" cy="1212215"/>
                          </a:xfrm>
                          <a:prstGeom prst="rect">
                            <a:avLst/>
                          </a:prstGeom>
                          <a:noFill/>
                          <a:ln>
                            <a:noFill/>
                          </a:ln>
                        </pic:spPr>
                      </pic:pic>
                    </a:graphicData>
                  </a:graphic>
                </wp:inline>
              </w:drawing>
            </w:r>
          </w:p>
        </w:tc>
      </w:tr>
    </w:tbl>
    <w:p w:rsidR="000D3A31" w:rsidRPr="00DB433A" w:rsidRDefault="000D3A31" w:rsidP="000D3A31">
      <w:pPr>
        <w:rPr>
          <w:lang w:val="en-NZ"/>
        </w:rPr>
      </w:pPr>
      <w:r w:rsidRPr="00DB433A">
        <w:rPr>
          <w:lang w:val="en-NZ"/>
        </w:rPr>
        <w:t>Around 78% of those 199 schools are primary schools with 160 or fewer students. This is about 17% of all primary schools with 160 or fewer students in the sample. Essentially, of that sample:</w:t>
      </w:r>
    </w:p>
    <w:p w:rsidR="000D3A31" w:rsidRPr="00DB433A" w:rsidRDefault="000D3A31" w:rsidP="00F50CE1">
      <w:pPr>
        <w:pStyle w:val="ListParagraph"/>
        <w:numPr>
          <w:ilvl w:val="0"/>
          <w:numId w:val="27"/>
        </w:numPr>
        <w:rPr>
          <w:lang w:val="en-NZ"/>
        </w:rPr>
      </w:pPr>
      <w:r w:rsidRPr="00DB433A">
        <w:rPr>
          <w:lang w:val="en-NZ"/>
        </w:rPr>
        <w:t>28% have relatively high use of teaching support staff (only)</w:t>
      </w:r>
    </w:p>
    <w:p w:rsidR="000D3A31" w:rsidRPr="00DB433A" w:rsidRDefault="000D3A31" w:rsidP="00F50CE1">
      <w:pPr>
        <w:pStyle w:val="ListParagraph"/>
        <w:numPr>
          <w:ilvl w:val="0"/>
          <w:numId w:val="27"/>
        </w:numPr>
        <w:rPr>
          <w:lang w:val="en-NZ"/>
        </w:rPr>
      </w:pPr>
      <w:r w:rsidRPr="00DB433A">
        <w:rPr>
          <w:lang w:val="en-NZ"/>
        </w:rPr>
        <w:t xml:space="preserve">23% have relatively high use of </w:t>
      </w:r>
      <w:r w:rsidR="006E778C">
        <w:rPr>
          <w:lang w:val="en-NZ"/>
        </w:rPr>
        <w:t>R</w:t>
      </w:r>
      <w:r w:rsidRPr="00DB433A">
        <w:rPr>
          <w:lang w:val="en-NZ"/>
        </w:rPr>
        <w:t>elievers (only)</w:t>
      </w:r>
    </w:p>
    <w:p w:rsidR="000D3A31" w:rsidRPr="00DB433A" w:rsidRDefault="000D3A31" w:rsidP="00F50CE1">
      <w:pPr>
        <w:pStyle w:val="ListParagraph"/>
        <w:numPr>
          <w:ilvl w:val="0"/>
          <w:numId w:val="27"/>
        </w:numPr>
        <w:rPr>
          <w:lang w:val="en-NZ"/>
        </w:rPr>
      </w:pPr>
      <w:r w:rsidRPr="00DB433A">
        <w:rPr>
          <w:lang w:val="en-NZ"/>
        </w:rPr>
        <w:t>17% have relatively high use of both</w:t>
      </w:r>
    </w:p>
    <w:p w:rsidR="000D3A31" w:rsidRPr="00DB433A" w:rsidRDefault="000D3A31" w:rsidP="00F50CE1">
      <w:pPr>
        <w:pStyle w:val="ListParagraph"/>
        <w:numPr>
          <w:ilvl w:val="0"/>
          <w:numId w:val="27"/>
        </w:numPr>
        <w:rPr>
          <w:lang w:val="en-NZ"/>
        </w:rPr>
      </w:pPr>
      <w:r w:rsidRPr="00DB433A">
        <w:rPr>
          <w:lang w:val="en-NZ"/>
        </w:rPr>
        <w:t>32% have relatively high use of neither</w:t>
      </w:r>
    </w:p>
    <w:p w:rsidR="000D3A31" w:rsidRPr="00DB433A" w:rsidRDefault="000D3A31" w:rsidP="000D3A31">
      <w:pPr>
        <w:pStyle w:val="Heading1BlueNumbered"/>
        <w:numPr>
          <w:ilvl w:val="0"/>
          <w:numId w:val="0"/>
        </w:numPr>
      </w:pPr>
      <w:r w:rsidRPr="00DB433A">
        <w:lastRenderedPageBreak/>
        <w:t xml:space="preserve">Funding </w:t>
      </w:r>
      <w:r w:rsidR="006E778C">
        <w:t>R</w:t>
      </w:r>
      <w:r w:rsidRPr="00DB433A">
        <w:t xml:space="preserve">elievers through FTTE entitlement and relatively high use of </w:t>
      </w:r>
      <w:r w:rsidR="006E778C">
        <w:t>R</w:t>
      </w:r>
      <w:r w:rsidRPr="00DB433A">
        <w:t>elievers</w:t>
      </w:r>
    </w:p>
    <w:p w:rsidR="000D3A31" w:rsidRPr="00DB433A" w:rsidRDefault="000D3A31" w:rsidP="000D3A31">
      <w:pPr>
        <w:rPr>
          <w:lang w:val="en-NZ"/>
        </w:rPr>
      </w:pPr>
      <w:r w:rsidRPr="00DB433A">
        <w:rPr>
          <w:lang w:val="en-NZ"/>
        </w:rPr>
        <w:t xml:space="preserve">We also analysed schools that have funded </w:t>
      </w:r>
      <w:r w:rsidR="006E778C">
        <w:rPr>
          <w:lang w:val="en-NZ"/>
        </w:rPr>
        <w:t>R</w:t>
      </w:r>
      <w:r w:rsidRPr="00DB433A">
        <w:rPr>
          <w:lang w:val="en-NZ"/>
        </w:rPr>
        <w:t>elievers through their FTTE entitlement a</w:t>
      </w:r>
      <w:r w:rsidR="006E778C">
        <w:rPr>
          <w:lang w:val="en-NZ"/>
        </w:rPr>
        <w:t>nd have relatively high use of R</w:t>
      </w:r>
      <w:r w:rsidRPr="00DB433A">
        <w:rPr>
          <w:lang w:val="en-NZ"/>
        </w:rPr>
        <w:t>elievers, using:</w:t>
      </w:r>
    </w:p>
    <w:p w:rsidR="000D3A31" w:rsidRPr="00DB433A" w:rsidRDefault="000D3A31" w:rsidP="00F50CE1">
      <w:pPr>
        <w:pStyle w:val="ListParagraph"/>
        <w:numPr>
          <w:ilvl w:val="0"/>
          <w:numId w:val="28"/>
        </w:numPr>
        <w:rPr>
          <w:lang w:val="en-NZ"/>
        </w:rPr>
      </w:pPr>
      <w:r w:rsidRPr="00DB433A">
        <w:rPr>
          <w:lang w:val="en-NZ"/>
        </w:rPr>
        <w:t>Ratio of 12 or lower Regular Teachers per Reliever FTE</w:t>
      </w:r>
    </w:p>
    <w:p w:rsidR="000D3A31" w:rsidRPr="00DB433A" w:rsidRDefault="000D3A31" w:rsidP="00F50CE1">
      <w:pPr>
        <w:pStyle w:val="ListParagraph"/>
        <w:numPr>
          <w:ilvl w:val="0"/>
          <w:numId w:val="28"/>
        </w:numPr>
        <w:rPr>
          <w:lang w:val="en-NZ"/>
        </w:rPr>
      </w:pPr>
      <w:r w:rsidRPr="00DB433A">
        <w:rPr>
          <w:lang w:val="en-NZ"/>
        </w:rPr>
        <w:t>Use of FTTE entitlement of 5% or higher for Relievers</w:t>
      </w:r>
    </w:p>
    <w:p w:rsidR="000D3A31" w:rsidRPr="00DB433A" w:rsidRDefault="000D3A31" w:rsidP="000D3A31">
      <w:pPr>
        <w:rPr>
          <w:lang w:val="en-NZ"/>
        </w:rPr>
      </w:pPr>
      <w:r w:rsidRPr="00DB433A">
        <w:rPr>
          <w:lang w:val="en-NZ"/>
        </w:rPr>
        <w:t>This shows significant overlap of around 70%.</w:t>
      </w:r>
    </w:p>
    <w:tbl>
      <w:tblPr>
        <w:tblStyle w:val="TableGrid"/>
        <w:tblW w:w="0" w:type="auto"/>
        <w:tblLook w:val="04A0"/>
      </w:tblPr>
      <w:tblGrid>
        <w:gridCol w:w="6945"/>
      </w:tblGrid>
      <w:tr w:rsidR="000D3A31" w:rsidRPr="00DB433A" w:rsidTr="00B53AB9">
        <w:trPr>
          <w:cnfStyle w:val="100000000000"/>
        </w:trPr>
        <w:tc>
          <w:tcPr>
            <w:tcW w:w="7161" w:type="dxa"/>
          </w:tcPr>
          <w:p w:rsidR="000D3A31" w:rsidRPr="00DB433A" w:rsidRDefault="000D3A31" w:rsidP="00B53AB9">
            <w:pPr>
              <w:rPr>
                <w:lang w:val="en-NZ"/>
              </w:rPr>
            </w:pPr>
            <w:r w:rsidRPr="00DB433A">
              <w:rPr>
                <w:noProof/>
                <w:lang w:val="en-NZ" w:eastAsia="en-NZ"/>
              </w:rPr>
              <w:drawing>
                <wp:inline distT="0" distB="0" distL="0" distR="0">
                  <wp:extent cx="4172400" cy="1270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2400" cy="1270800"/>
                          </a:xfrm>
                          <a:prstGeom prst="rect">
                            <a:avLst/>
                          </a:prstGeom>
                          <a:noFill/>
                          <a:ln>
                            <a:noFill/>
                          </a:ln>
                        </pic:spPr>
                      </pic:pic>
                    </a:graphicData>
                  </a:graphic>
                </wp:inline>
              </w:drawing>
            </w:r>
          </w:p>
        </w:tc>
      </w:tr>
    </w:tbl>
    <w:p w:rsidR="000D3A31" w:rsidRPr="00DB433A" w:rsidRDefault="000D3A31" w:rsidP="000D3A31">
      <w:pPr>
        <w:rPr>
          <w:lang w:val="en-NZ"/>
        </w:rPr>
      </w:pPr>
      <w:r w:rsidRPr="00DB433A">
        <w:rPr>
          <w:lang w:val="en-NZ"/>
        </w:rPr>
        <w:t>97% (411 out of the 422) are primary schools. The pie chart below shows how these break down over school size grouping by number of students, with a total of 67% having 160 students or fewer.</w:t>
      </w:r>
    </w:p>
    <w:tbl>
      <w:tblPr>
        <w:tblStyle w:val="TableGrid"/>
        <w:tblW w:w="0" w:type="auto"/>
        <w:tblInd w:w="108" w:type="dxa"/>
        <w:tblCellMar>
          <w:left w:w="108" w:type="dxa"/>
          <w:right w:w="108" w:type="dxa"/>
        </w:tblCellMar>
        <w:tblLook w:val="04A0"/>
      </w:tblPr>
      <w:tblGrid>
        <w:gridCol w:w="6945"/>
      </w:tblGrid>
      <w:tr w:rsidR="000D3A31" w:rsidRPr="00DB433A" w:rsidTr="00B53AB9">
        <w:trPr>
          <w:cnfStyle w:val="100000000000"/>
        </w:trPr>
        <w:tc>
          <w:tcPr>
            <w:tcW w:w="6945" w:type="dxa"/>
          </w:tcPr>
          <w:p w:rsidR="000D3A31" w:rsidRPr="00DB433A" w:rsidRDefault="000D3A31" w:rsidP="00B53AB9">
            <w:pPr>
              <w:rPr>
                <w:lang w:val="en-NZ"/>
              </w:rPr>
            </w:pPr>
            <w:r w:rsidRPr="00DB433A">
              <w:rPr>
                <w:noProof/>
                <w:lang w:val="en-NZ" w:eastAsia="en-NZ"/>
              </w:rPr>
              <w:drawing>
                <wp:inline distT="0" distB="0" distL="0" distR="0">
                  <wp:extent cx="4105910" cy="2536166"/>
                  <wp:effectExtent l="0" t="0" r="889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0D3A31" w:rsidRPr="00DB433A" w:rsidRDefault="000D3A31" w:rsidP="000D3A31">
      <w:pPr>
        <w:rPr>
          <w:lang w:val="en-NZ"/>
        </w:rPr>
      </w:pPr>
      <w:r w:rsidRPr="00DB433A">
        <w:rPr>
          <w:lang w:val="en-NZ"/>
        </w:rPr>
        <w:t>In total, the 422 schools employed:</w:t>
      </w:r>
    </w:p>
    <w:p w:rsidR="000D3A31" w:rsidRPr="00DB433A" w:rsidRDefault="000D3A31" w:rsidP="00F50CE1">
      <w:pPr>
        <w:pStyle w:val="ListParagraph"/>
        <w:numPr>
          <w:ilvl w:val="0"/>
          <w:numId w:val="29"/>
        </w:numPr>
        <w:rPr>
          <w:lang w:val="en-NZ"/>
        </w:rPr>
      </w:pPr>
      <w:r w:rsidRPr="00DB433A">
        <w:rPr>
          <w:lang w:val="en-NZ"/>
        </w:rPr>
        <w:t xml:space="preserve">286 FTE </w:t>
      </w:r>
      <w:r w:rsidR="006E778C">
        <w:rPr>
          <w:lang w:val="en-NZ"/>
        </w:rPr>
        <w:t>R</w:t>
      </w:r>
      <w:r w:rsidRPr="00DB433A">
        <w:rPr>
          <w:lang w:val="en-NZ"/>
        </w:rPr>
        <w:t>elievers from FTTE Entitlements</w:t>
      </w:r>
    </w:p>
    <w:p w:rsidR="000D3A31" w:rsidRPr="00DB433A" w:rsidRDefault="006E778C" w:rsidP="00F50CE1">
      <w:pPr>
        <w:pStyle w:val="ListParagraph"/>
        <w:numPr>
          <w:ilvl w:val="0"/>
          <w:numId w:val="29"/>
        </w:numPr>
        <w:rPr>
          <w:lang w:val="en-NZ"/>
        </w:rPr>
      </w:pPr>
      <w:r>
        <w:rPr>
          <w:lang w:val="en-NZ"/>
        </w:rPr>
        <w:t>184 FTE R</w:t>
      </w:r>
      <w:r w:rsidR="000D3A31" w:rsidRPr="00DB433A">
        <w:rPr>
          <w:lang w:val="en-NZ"/>
        </w:rPr>
        <w:t>elievers from Bulk Grants</w:t>
      </w:r>
    </w:p>
    <w:p w:rsidR="000D3A31" w:rsidRPr="00DB433A" w:rsidRDefault="006E778C" w:rsidP="00F50CE1">
      <w:pPr>
        <w:pStyle w:val="ListParagraph"/>
        <w:numPr>
          <w:ilvl w:val="0"/>
          <w:numId w:val="29"/>
        </w:numPr>
        <w:rPr>
          <w:lang w:val="en-NZ"/>
        </w:rPr>
      </w:pPr>
      <w:r>
        <w:rPr>
          <w:lang w:val="en-NZ"/>
        </w:rPr>
        <w:t>109 FTE R</w:t>
      </w:r>
      <w:r w:rsidR="000D3A31" w:rsidRPr="00DB433A">
        <w:rPr>
          <w:lang w:val="en-NZ"/>
        </w:rPr>
        <w:t xml:space="preserve">egular </w:t>
      </w:r>
      <w:r>
        <w:rPr>
          <w:lang w:val="en-NZ"/>
        </w:rPr>
        <w:t>T</w:t>
      </w:r>
      <w:r w:rsidR="000D3A31" w:rsidRPr="00DB433A">
        <w:rPr>
          <w:lang w:val="en-NZ"/>
        </w:rPr>
        <w:t>eachers from Bulk Grants</w:t>
      </w:r>
    </w:p>
    <w:p w:rsidR="00F42E69" w:rsidRPr="00DB433A" w:rsidRDefault="00F42E69">
      <w:pPr>
        <w:spacing w:after="200" w:line="276" w:lineRule="auto"/>
        <w:rPr>
          <w:sz w:val="60"/>
          <w:lang w:val="en-NZ"/>
        </w:rPr>
      </w:pPr>
      <w:r w:rsidRPr="00DB433A">
        <w:rPr>
          <w:lang w:val="en-NZ"/>
        </w:rPr>
        <w:br w:type="page"/>
      </w:r>
    </w:p>
    <w:p w:rsidR="0002617B" w:rsidRPr="00DB433A" w:rsidRDefault="0002617B" w:rsidP="0002617B">
      <w:pPr>
        <w:pStyle w:val="Sectiontitle"/>
        <w:rPr>
          <w:lang w:val="en-NZ"/>
        </w:rPr>
      </w:pPr>
      <w:bookmarkStart w:id="7" w:name="_Toc463604449"/>
      <w:r w:rsidRPr="00DB433A">
        <w:rPr>
          <w:lang w:val="en-NZ"/>
        </w:rPr>
        <w:lastRenderedPageBreak/>
        <w:t>Allocation across year groups</w:t>
      </w:r>
      <w:bookmarkEnd w:id="7"/>
    </w:p>
    <w:p w:rsidR="0002617B" w:rsidRPr="00DB433A" w:rsidRDefault="0002617B" w:rsidP="0002617B">
      <w:pPr>
        <w:pStyle w:val="Sectionintro"/>
        <w:rPr>
          <w:lang w:val="en-NZ"/>
        </w:rPr>
      </w:pPr>
      <w:r w:rsidRPr="00DB433A">
        <w:rPr>
          <w:lang w:val="en-NZ"/>
        </w:rPr>
        <w:t>Summary</w:t>
      </w:r>
    </w:p>
    <w:p w:rsidR="006B0930" w:rsidRPr="00DB433A" w:rsidRDefault="006B0930" w:rsidP="0002617B">
      <w:pPr>
        <w:rPr>
          <w:lang w:val="en-NZ"/>
        </w:rPr>
      </w:pPr>
      <w:r w:rsidRPr="00DB433A">
        <w:rPr>
          <w:lang w:val="en-NZ"/>
        </w:rPr>
        <w:t>The Ministry provides FTTE entitlements to schools, based on the roll size for each year group, and with a range of student to staff ratios. In practical terms, this provides more funding for years 1 and 2, as well as for years 12 and 13, than for other year groups.</w:t>
      </w:r>
    </w:p>
    <w:p w:rsidR="006B0930" w:rsidRDefault="006B0930" w:rsidP="0002617B">
      <w:pPr>
        <w:rPr>
          <w:lang w:val="en-NZ"/>
        </w:rPr>
      </w:pPr>
      <w:r w:rsidRPr="00DB433A">
        <w:rPr>
          <w:lang w:val="en-NZ"/>
        </w:rPr>
        <w:t>Schools have flexibility in how they deploy the FTTE entitlement, and t</w:t>
      </w:r>
      <w:r w:rsidR="0002617B" w:rsidRPr="00DB433A">
        <w:rPr>
          <w:lang w:val="en-NZ"/>
        </w:rPr>
        <w:t xml:space="preserve">his section </w:t>
      </w:r>
      <w:r w:rsidRPr="00DB433A">
        <w:rPr>
          <w:lang w:val="en-NZ"/>
        </w:rPr>
        <w:t>explores</w:t>
      </w:r>
      <w:r w:rsidR="0002617B" w:rsidRPr="00DB433A">
        <w:rPr>
          <w:lang w:val="en-NZ"/>
        </w:rPr>
        <w:t xml:space="preserve"> how </w:t>
      </w:r>
      <w:r w:rsidRPr="00DB433A">
        <w:rPr>
          <w:lang w:val="en-NZ"/>
        </w:rPr>
        <w:t xml:space="preserve">the decisions </w:t>
      </w:r>
      <w:r w:rsidR="0002617B" w:rsidRPr="00DB433A">
        <w:rPr>
          <w:lang w:val="en-NZ"/>
        </w:rPr>
        <w:t xml:space="preserve">schools </w:t>
      </w:r>
      <w:r w:rsidRPr="00DB433A">
        <w:rPr>
          <w:lang w:val="en-NZ"/>
        </w:rPr>
        <w:t xml:space="preserve">make in allocating teachers to year groups compare with the way </w:t>
      </w:r>
      <w:r w:rsidR="006519DE">
        <w:rPr>
          <w:lang w:val="en-NZ"/>
        </w:rPr>
        <w:t>government</w:t>
      </w:r>
      <w:r w:rsidRPr="00DB433A">
        <w:rPr>
          <w:lang w:val="en-NZ"/>
        </w:rPr>
        <w:t xml:space="preserve"> funds.</w:t>
      </w:r>
    </w:p>
    <w:p w:rsidR="00E05340" w:rsidRPr="00DB433A" w:rsidRDefault="00E05340" w:rsidP="0002617B">
      <w:pPr>
        <w:rPr>
          <w:lang w:val="en-NZ"/>
        </w:rPr>
      </w:pPr>
      <w:r>
        <w:rPr>
          <w:lang w:val="en-NZ"/>
        </w:rPr>
        <w:t>Because of the small sample size, the discussion in this section needs to be seen as indicative only.</w:t>
      </w:r>
      <w:r w:rsidR="00A82056">
        <w:rPr>
          <w:lang w:val="en-NZ"/>
        </w:rPr>
        <w:t xml:space="preserve"> In our comparisons with </w:t>
      </w:r>
      <w:r w:rsidR="006519DE">
        <w:rPr>
          <w:lang w:val="en-NZ"/>
        </w:rPr>
        <w:t>government</w:t>
      </w:r>
      <w:r w:rsidR="00A82056">
        <w:rPr>
          <w:lang w:val="en-NZ"/>
        </w:rPr>
        <w:t xml:space="preserve"> funding we have considered only the year group curriculum staffing (i.e. not including Maximum Average Class Size factors or other base staffing entitlement that is not allocated to a year group).</w:t>
      </w:r>
    </w:p>
    <w:p w:rsidR="0002617B" w:rsidRPr="00DB433A" w:rsidRDefault="0002617B" w:rsidP="0002617B">
      <w:pPr>
        <w:rPr>
          <w:lang w:val="en-NZ"/>
        </w:rPr>
      </w:pPr>
      <w:r w:rsidRPr="00DB433A">
        <w:rPr>
          <w:lang w:val="en-NZ"/>
        </w:rPr>
        <w:t xml:space="preserve">Our analysis has identified </w:t>
      </w:r>
      <w:r w:rsidR="008D6A4D">
        <w:rPr>
          <w:lang w:val="en-NZ"/>
        </w:rPr>
        <w:t>two</w:t>
      </w:r>
      <w:r w:rsidRPr="00DB433A">
        <w:rPr>
          <w:lang w:val="en-NZ"/>
        </w:rPr>
        <w:t xml:space="preserve"> findings we bel</w:t>
      </w:r>
      <w:r w:rsidR="006B0930" w:rsidRPr="00DB433A">
        <w:rPr>
          <w:lang w:val="en-NZ"/>
        </w:rPr>
        <w:t>ieve are of particular interest.</w:t>
      </w:r>
    </w:p>
    <w:p w:rsidR="0002617B" w:rsidRPr="00DB433A" w:rsidRDefault="0002617B" w:rsidP="0002617B">
      <w:pPr>
        <w:pStyle w:val="Heading1BlueNumbered"/>
        <w:numPr>
          <w:ilvl w:val="0"/>
          <w:numId w:val="0"/>
        </w:numPr>
        <w:ind w:left="851" w:hanging="851"/>
      </w:pPr>
      <w:r w:rsidRPr="00DB433A">
        <w:t>Allocation of teachers</w:t>
      </w:r>
    </w:p>
    <w:p w:rsidR="0002617B" w:rsidRPr="00DB433A" w:rsidRDefault="0002617B" w:rsidP="0002617B">
      <w:pPr>
        <w:rPr>
          <w:lang w:val="en-NZ"/>
        </w:rPr>
      </w:pPr>
      <w:r w:rsidRPr="00DB433A">
        <w:rPr>
          <w:lang w:val="en-NZ"/>
        </w:rPr>
        <w:t>Allocations of teachers across year groups from schools that responded to our survey are broadly in line with the FTTE allocations the Ministry provides. Specifically, the allocations show lower student to teacher ratios at very junior and very senior years.</w:t>
      </w:r>
    </w:p>
    <w:p w:rsidR="0002617B" w:rsidRPr="00DB433A" w:rsidRDefault="0002617B" w:rsidP="0002617B">
      <w:pPr>
        <w:rPr>
          <w:lang w:val="en-NZ"/>
        </w:rPr>
      </w:pPr>
      <w:r w:rsidRPr="00DB433A">
        <w:rPr>
          <w:lang w:val="en-NZ"/>
        </w:rPr>
        <w:t>The greatest degree of alignment was for secondary schools, while primary and composite schools had greater variation from the Ministry’s formulae.</w:t>
      </w:r>
    </w:p>
    <w:p w:rsidR="0002617B" w:rsidRPr="00DB433A" w:rsidRDefault="0002617B" w:rsidP="0002617B">
      <w:pPr>
        <w:pStyle w:val="Heading1BlueNumbered"/>
        <w:numPr>
          <w:ilvl w:val="0"/>
          <w:numId w:val="0"/>
        </w:numPr>
        <w:ind w:left="851" w:hanging="851"/>
      </w:pPr>
      <w:r w:rsidRPr="00DB433A">
        <w:t>How schools approach allocation</w:t>
      </w:r>
    </w:p>
    <w:p w:rsidR="009C09C0" w:rsidRPr="00DB433A" w:rsidRDefault="009C09C0" w:rsidP="009C09C0">
      <w:pPr>
        <w:rPr>
          <w:lang w:val="en-NZ"/>
        </w:rPr>
      </w:pPr>
      <w:r w:rsidRPr="00DB433A">
        <w:rPr>
          <w:lang w:val="en-NZ"/>
        </w:rPr>
        <w:t>We have seen little evidence that schools seek to mirror the funding formulae, with most schools treating the total FTTE entitlement as a single whole, and then allocating it based on their environment and needs.</w:t>
      </w:r>
    </w:p>
    <w:p w:rsidR="0002617B" w:rsidRPr="00DB433A" w:rsidRDefault="0002617B" w:rsidP="0002617B">
      <w:pPr>
        <w:rPr>
          <w:lang w:val="en-NZ"/>
        </w:rPr>
      </w:pPr>
      <w:r w:rsidRPr="00DB433A">
        <w:rPr>
          <w:lang w:val="en-NZ"/>
        </w:rPr>
        <w:t>From our interviews, we noted a range of approaches schools take to determining class sizes and consequently allocating their teachers.</w:t>
      </w:r>
    </w:p>
    <w:p w:rsidR="0002617B" w:rsidRPr="00DB433A" w:rsidRDefault="0002617B" w:rsidP="0002617B">
      <w:pPr>
        <w:pStyle w:val="Heading2BlackNumbered"/>
        <w:numPr>
          <w:ilvl w:val="0"/>
          <w:numId w:val="0"/>
        </w:numPr>
        <w:ind w:left="851" w:hanging="851"/>
      </w:pPr>
      <w:r w:rsidRPr="00DB433A">
        <w:t>Senior students</w:t>
      </w:r>
    </w:p>
    <w:p w:rsidR="00A82056" w:rsidRDefault="0002617B" w:rsidP="0002617B">
      <w:pPr>
        <w:rPr>
          <w:lang w:val="en-NZ"/>
        </w:rPr>
      </w:pPr>
      <w:r w:rsidRPr="00DB433A">
        <w:rPr>
          <w:lang w:val="en-NZ"/>
        </w:rPr>
        <w:t>For senior students in years 12 and 13, schools consciously wish to provide broad curriculum choices. This can lead to classes for some subjects being relatively small (e.g. 8-12 students)</w:t>
      </w:r>
      <w:r w:rsidR="00A82056">
        <w:rPr>
          <w:lang w:val="en-NZ"/>
        </w:rPr>
        <w:t>.</w:t>
      </w:r>
      <w:r w:rsidR="00AB4920">
        <w:rPr>
          <w:lang w:val="en-NZ"/>
        </w:rPr>
        <w:t xml:space="preserve"> Schools told us broad curriculum choices are important to attract students and to achieve good levels of student engagement with their education.</w:t>
      </w:r>
    </w:p>
    <w:p w:rsidR="0002617B" w:rsidRPr="00DB433A" w:rsidRDefault="00A82056" w:rsidP="0002617B">
      <w:pPr>
        <w:rPr>
          <w:lang w:val="en-NZ"/>
        </w:rPr>
      </w:pPr>
      <w:r>
        <w:rPr>
          <w:lang w:val="en-NZ"/>
        </w:rPr>
        <w:t>T</w:t>
      </w:r>
      <w:r w:rsidR="0002617B" w:rsidRPr="00DB433A">
        <w:rPr>
          <w:lang w:val="en-NZ"/>
        </w:rPr>
        <w:t xml:space="preserve">he majority of schools we talked to trade </w:t>
      </w:r>
      <w:r w:rsidR="00AB4920">
        <w:rPr>
          <w:lang w:val="en-NZ"/>
        </w:rPr>
        <w:t xml:space="preserve">these small </w:t>
      </w:r>
      <w:r w:rsidR="005471C1">
        <w:rPr>
          <w:lang w:val="en-NZ"/>
        </w:rPr>
        <w:t>classes</w:t>
      </w:r>
      <w:r w:rsidR="0002617B" w:rsidRPr="00DB433A">
        <w:rPr>
          <w:lang w:val="en-NZ"/>
        </w:rPr>
        <w:t xml:space="preserve"> off with relatively high class sizes (e.g. </w:t>
      </w:r>
      <w:r>
        <w:rPr>
          <w:lang w:val="en-NZ"/>
        </w:rPr>
        <w:t>up to</w:t>
      </w:r>
      <w:r w:rsidR="0002617B" w:rsidRPr="00DB433A">
        <w:rPr>
          <w:lang w:val="en-NZ"/>
        </w:rPr>
        <w:t xml:space="preserve"> 30) for core subjects with a large number of students and several classes</w:t>
      </w:r>
      <w:r>
        <w:rPr>
          <w:lang w:val="en-NZ"/>
        </w:rPr>
        <w:t>, such as English</w:t>
      </w:r>
      <w:r w:rsidR="0002617B" w:rsidRPr="00DB433A">
        <w:rPr>
          <w:lang w:val="en-NZ"/>
        </w:rPr>
        <w:t xml:space="preserve">. Overall, this leads to smaller average class sizes for year 12 and 13, but that appears to be a result of broader subject choice rather than schools seeking smaller class </w:t>
      </w:r>
      <w:r w:rsidR="0002617B" w:rsidRPr="00DB433A">
        <w:rPr>
          <w:lang w:val="en-NZ"/>
        </w:rPr>
        <w:lastRenderedPageBreak/>
        <w:t>sizes for senior students in general. Very few schools stated they had an absolute minimum number of students required for a subject to be offered.</w:t>
      </w:r>
    </w:p>
    <w:p w:rsidR="0002617B" w:rsidRPr="00DB433A" w:rsidRDefault="0002617B" w:rsidP="0002617B">
      <w:pPr>
        <w:rPr>
          <w:lang w:val="en-NZ"/>
        </w:rPr>
      </w:pPr>
      <w:r w:rsidRPr="00DB433A">
        <w:rPr>
          <w:lang w:val="en-NZ"/>
        </w:rPr>
        <w:t>Small schools with few senior students (e.g. only around 20 in each of years 12 and 13) do not have the ability to trade-off large core subject classes. The majority offer subject choice through electronic learning, and students are supervised either as a group while each studying their online subjects, or as part of another general class.</w:t>
      </w:r>
    </w:p>
    <w:p w:rsidR="0002617B" w:rsidRPr="00DB433A" w:rsidRDefault="0002617B" w:rsidP="0002617B">
      <w:pPr>
        <w:pStyle w:val="Heading2BlackNumbered"/>
        <w:numPr>
          <w:ilvl w:val="0"/>
          <w:numId w:val="0"/>
        </w:numPr>
        <w:ind w:left="851" w:hanging="851"/>
      </w:pPr>
      <w:r w:rsidRPr="00DB433A">
        <w:t>Composite classes</w:t>
      </w:r>
    </w:p>
    <w:p w:rsidR="0002617B" w:rsidRPr="00DB433A" w:rsidRDefault="0002617B" w:rsidP="0002617B">
      <w:pPr>
        <w:rPr>
          <w:lang w:val="en-NZ"/>
        </w:rPr>
      </w:pPr>
      <w:r w:rsidRPr="00DB433A">
        <w:rPr>
          <w:lang w:val="en-NZ"/>
        </w:rPr>
        <w:t>For years 1 to 8, many schools use composite classes. This makes it easier for those schools to group students with similar needs, to move students between classes where that may help their learning, and to maintain similar class sizes.</w:t>
      </w:r>
    </w:p>
    <w:p w:rsidR="0002617B" w:rsidRPr="00DB433A" w:rsidRDefault="0002617B" w:rsidP="0002617B">
      <w:pPr>
        <w:rPr>
          <w:lang w:val="en-NZ"/>
        </w:rPr>
      </w:pPr>
      <w:r w:rsidRPr="00DB433A">
        <w:rPr>
          <w:lang w:val="en-NZ"/>
        </w:rPr>
        <w:t xml:space="preserve">For smaller schools (e.g. 10-15 students in each year group) composite </w:t>
      </w:r>
      <w:r w:rsidR="00F50086">
        <w:rPr>
          <w:lang w:val="en-NZ"/>
        </w:rPr>
        <w:t xml:space="preserve">classes </w:t>
      </w:r>
      <w:r w:rsidRPr="00DB433A">
        <w:rPr>
          <w:lang w:val="en-NZ"/>
        </w:rPr>
        <w:t>are necessary to balance students, classrooms and teachers. Some larger schools use composite classes deliberately with relatively high student numbers (e.g. 30) so that they can offer a range of specialist subjects such a</w:t>
      </w:r>
      <w:r w:rsidR="00741FA2">
        <w:rPr>
          <w:lang w:val="en-NZ"/>
        </w:rPr>
        <w:t>s technology, arts and sciences for junior years.</w:t>
      </w:r>
    </w:p>
    <w:p w:rsidR="0002617B" w:rsidRPr="00DB433A" w:rsidRDefault="0002617B" w:rsidP="0002617B">
      <w:pPr>
        <w:rPr>
          <w:lang w:val="en-NZ"/>
        </w:rPr>
      </w:pPr>
      <w:r w:rsidRPr="00DB433A">
        <w:rPr>
          <w:lang w:val="en-NZ"/>
        </w:rPr>
        <w:t>Composite classes are also used in Maori Medium education, with modern learning environments where students study some subjects in “home” classes (e.g. 20 or more students) but also mix between classes for learning with quite different student / teacher modes such as 90 students with four teachers, small group work (e.g. 8-12 students with a teacher) and larger ratios (e.g. 90 students with a teacher) for group and self-organising activities.</w:t>
      </w:r>
    </w:p>
    <w:p w:rsidR="0002617B" w:rsidRPr="00DB433A" w:rsidRDefault="0002617B" w:rsidP="0002617B">
      <w:pPr>
        <w:pStyle w:val="Heading2BlackNumbered"/>
        <w:numPr>
          <w:ilvl w:val="0"/>
          <w:numId w:val="0"/>
        </w:numPr>
        <w:ind w:left="851" w:hanging="851"/>
      </w:pPr>
      <w:r w:rsidRPr="00DB433A">
        <w:t>New beginners</w:t>
      </w:r>
    </w:p>
    <w:p w:rsidR="0002617B" w:rsidRDefault="0002617B" w:rsidP="0002617B">
      <w:pPr>
        <w:rPr>
          <w:lang w:val="en-NZ"/>
        </w:rPr>
      </w:pPr>
      <w:r w:rsidRPr="00DB433A">
        <w:rPr>
          <w:lang w:val="en-NZ"/>
        </w:rPr>
        <w:t>All the schools we talked to deliberately maintained lower student to teacher ratios for year 1 and new beginners, either through small core classes or ensuring those classes have Teacher Aides or similar support.</w:t>
      </w:r>
    </w:p>
    <w:p w:rsidR="005360AE" w:rsidRPr="00DB433A" w:rsidRDefault="005360AE" w:rsidP="005360AE">
      <w:pPr>
        <w:pStyle w:val="Heading2BlackNumbered"/>
        <w:numPr>
          <w:ilvl w:val="0"/>
          <w:numId w:val="0"/>
        </w:numPr>
        <w:ind w:left="851" w:hanging="851"/>
      </w:pPr>
      <w:r>
        <w:t>Little choice for many schools</w:t>
      </w:r>
    </w:p>
    <w:p w:rsidR="005360AE" w:rsidRDefault="005360AE" w:rsidP="005360AE">
      <w:pPr>
        <w:rPr>
          <w:lang w:val="en-NZ"/>
        </w:rPr>
      </w:pPr>
      <w:r>
        <w:rPr>
          <w:lang w:val="en-NZ"/>
        </w:rPr>
        <w:t>There are probably 800 – 1000 schools that do not have any significant choice about their classes and teacher allocation.</w:t>
      </w:r>
    </w:p>
    <w:p w:rsidR="005360AE" w:rsidRDefault="005360AE" w:rsidP="005360AE">
      <w:pPr>
        <w:rPr>
          <w:lang w:val="en-NZ"/>
        </w:rPr>
      </w:pPr>
      <w:r>
        <w:rPr>
          <w:lang w:val="en-NZ"/>
        </w:rPr>
        <w:t>A</w:t>
      </w:r>
      <w:r w:rsidRPr="005360AE">
        <w:rPr>
          <w:lang w:val="en-NZ"/>
        </w:rPr>
        <w:t xml:space="preserve"> large proportion of the school</w:t>
      </w:r>
      <w:r>
        <w:rPr>
          <w:lang w:val="en-NZ"/>
        </w:rPr>
        <w:t xml:space="preserve">s </w:t>
      </w:r>
      <w:r w:rsidRPr="005360AE">
        <w:rPr>
          <w:lang w:val="en-NZ"/>
        </w:rPr>
        <w:t xml:space="preserve">do not appear to have the scale </w:t>
      </w:r>
      <w:r>
        <w:rPr>
          <w:lang w:val="en-NZ"/>
        </w:rPr>
        <w:t>or</w:t>
      </w:r>
      <w:r w:rsidRPr="005360AE">
        <w:rPr>
          <w:lang w:val="en-NZ"/>
        </w:rPr>
        <w:t xml:space="preserve"> critical mass of students to</w:t>
      </w:r>
      <w:r w:rsidR="00F47B28">
        <w:rPr>
          <w:lang w:val="en-NZ"/>
        </w:rPr>
        <w:t xml:space="preserve"> provide them with flexibility</w:t>
      </w:r>
      <w:r w:rsidRPr="005360AE">
        <w:rPr>
          <w:lang w:val="en-NZ"/>
        </w:rPr>
        <w:t>. These have either 15 students or less in their year groups (</w:t>
      </w:r>
      <w:r>
        <w:rPr>
          <w:lang w:val="en-NZ"/>
        </w:rPr>
        <w:t xml:space="preserve">e.g. </w:t>
      </w:r>
      <w:r w:rsidRPr="005360AE">
        <w:rPr>
          <w:lang w:val="en-NZ"/>
        </w:rPr>
        <w:t xml:space="preserve">leading to composite classes), have a high number of new entrants that </w:t>
      </w:r>
      <w:r>
        <w:rPr>
          <w:lang w:val="en-NZ"/>
        </w:rPr>
        <w:t xml:space="preserve">do not stay at the school </w:t>
      </w:r>
      <w:r w:rsidRPr="005360AE">
        <w:rPr>
          <w:lang w:val="en-NZ"/>
        </w:rPr>
        <w:t>(</w:t>
      </w:r>
      <w:r>
        <w:rPr>
          <w:lang w:val="en-NZ"/>
        </w:rPr>
        <w:t>e.g</w:t>
      </w:r>
      <w:r w:rsidRPr="005360AE">
        <w:rPr>
          <w:lang w:val="en-NZ"/>
        </w:rPr>
        <w:t>. 2 new entrant classes then single classes), or have around 20-</w:t>
      </w:r>
      <w:r>
        <w:rPr>
          <w:lang w:val="en-NZ"/>
        </w:rPr>
        <w:t>30 students in each year group.</w:t>
      </w:r>
    </w:p>
    <w:p w:rsidR="0002617B" w:rsidRPr="00DB433A" w:rsidRDefault="0002617B" w:rsidP="0002617B">
      <w:pPr>
        <w:pStyle w:val="Sectionintro"/>
        <w:rPr>
          <w:lang w:val="en-NZ"/>
        </w:rPr>
      </w:pPr>
      <w:r w:rsidRPr="00DB433A">
        <w:rPr>
          <w:lang w:val="en-NZ"/>
        </w:rPr>
        <w:t>Analysis of Allocation Data</w:t>
      </w:r>
    </w:p>
    <w:p w:rsidR="0002617B" w:rsidRPr="00DB433A" w:rsidRDefault="0002617B" w:rsidP="0002617B">
      <w:pPr>
        <w:pStyle w:val="Heading1BlueNumbered"/>
        <w:numPr>
          <w:ilvl w:val="0"/>
          <w:numId w:val="0"/>
        </w:numPr>
        <w:ind w:left="851" w:hanging="851"/>
      </w:pPr>
      <w:r w:rsidRPr="00DB433A">
        <w:t>Approach</w:t>
      </w:r>
    </w:p>
    <w:p w:rsidR="0002617B" w:rsidRPr="00DB433A" w:rsidRDefault="0002617B" w:rsidP="0002617B">
      <w:pPr>
        <w:rPr>
          <w:lang w:val="en-NZ"/>
        </w:rPr>
      </w:pPr>
      <w:r w:rsidRPr="00DB433A">
        <w:rPr>
          <w:lang w:val="en-NZ"/>
        </w:rPr>
        <w:t>Our analytical focus was on the shape of the allocation across year groups rather than the number of teachers. We therefore took survey responses from schools and determined the proportion of teacher effort each school had allocated to each year group, which normalised between different metrics schools had used in their responses (e.g. hours per week or year, FTTE).</w:t>
      </w:r>
    </w:p>
    <w:p w:rsidR="0002617B" w:rsidRPr="00DB433A" w:rsidRDefault="0002617B" w:rsidP="0002617B">
      <w:pPr>
        <w:rPr>
          <w:lang w:val="en-NZ"/>
        </w:rPr>
      </w:pPr>
      <w:r w:rsidRPr="00DB433A">
        <w:rPr>
          <w:lang w:val="en-NZ"/>
        </w:rPr>
        <w:lastRenderedPageBreak/>
        <w:t xml:space="preserve">The sample of survey respondents does not represent the relative number of students across year groups for the whole student population, so our results should not be interpreted or extrapolated for national averages. We normalised the effect of roll size </w:t>
      </w:r>
      <w:r w:rsidR="008D6A4D">
        <w:rPr>
          <w:lang w:val="en-NZ"/>
        </w:rPr>
        <w:t xml:space="preserve">and the various different units respondents provided, </w:t>
      </w:r>
      <w:r w:rsidRPr="00DB433A">
        <w:rPr>
          <w:lang w:val="en-NZ"/>
        </w:rPr>
        <w:t>using the two approaches below:</w:t>
      </w:r>
    </w:p>
    <w:p w:rsidR="0002617B" w:rsidRPr="00DB433A" w:rsidRDefault="0002617B" w:rsidP="0002617B">
      <w:pPr>
        <w:pStyle w:val="ListParagraph"/>
        <w:numPr>
          <w:ilvl w:val="0"/>
          <w:numId w:val="18"/>
        </w:numPr>
        <w:rPr>
          <w:lang w:val="en-NZ"/>
        </w:rPr>
      </w:pPr>
      <w:r w:rsidRPr="00DB433A">
        <w:rPr>
          <w:lang w:val="en-NZ"/>
        </w:rPr>
        <w:t>Dividing the allocated proportion of staff in each teaching year by proportion of students in that year (for each school), which provides a curve of similar shape to a “teachers per student” metric.</w:t>
      </w:r>
    </w:p>
    <w:p w:rsidR="0002617B" w:rsidRPr="00DB433A" w:rsidRDefault="0002617B" w:rsidP="0002617B">
      <w:pPr>
        <w:pStyle w:val="ListParagraph"/>
        <w:numPr>
          <w:ilvl w:val="0"/>
          <w:numId w:val="18"/>
        </w:numPr>
        <w:rPr>
          <w:lang w:val="en-NZ"/>
        </w:rPr>
      </w:pPr>
      <w:r w:rsidRPr="00DB433A">
        <w:rPr>
          <w:lang w:val="en-NZ"/>
        </w:rPr>
        <w:t>Calculating the weighted average allocation proportion for each teaching year, using roll size as a weighting.</w:t>
      </w:r>
    </w:p>
    <w:p w:rsidR="004D1751" w:rsidRPr="00DB433A" w:rsidRDefault="004D1751" w:rsidP="004D1751">
      <w:pPr>
        <w:rPr>
          <w:lang w:val="en-NZ"/>
        </w:rPr>
      </w:pPr>
      <w:r w:rsidRPr="00DB433A">
        <w:rPr>
          <w:lang w:val="en-NZ"/>
        </w:rPr>
        <w:t xml:space="preserve">These approaches are set out in more detail in </w:t>
      </w:r>
      <w:r w:rsidR="00ED196C">
        <w:rPr>
          <w:lang w:val="en-NZ"/>
        </w:rPr>
        <w:t>A</w:t>
      </w:r>
      <w:r w:rsidRPr="00DB433A">
        <w:rPr>
          <w:lang w:val="en-NZ"/>
        </w:rPr>
        <w:t xml:space="preserve">ppendix </w:t>
      </w:r>
      <w:r w:rsidR="00ED196C">
        <w:rPr>
          <w:lang w:val="en-NZ"/>
        </w:rPr>
        <w:t>A</w:t>
      </w:r>
      <w:r w:rsidRPr="00DB433A">
        <w:rPr>
          <w:lang w:val="en-NZ"/>
        </w:rPr>
        <w:t>.</w:t>
      </w:r>
    </w:p>
    <w:p w:rsidR="0002617B" w:rsidRPr="00DB433A" w:rsidRDefault="0002617B" w:rsidP="0002617B">
      <w:pPr>
        <w:rPr>
          <w:lang w:val="en-NZ"/>
        </w:rPr>
      </w:pPr>
      <w:r w:rsidRPr="00DB433A">
        <w:rPr>
          <w:lang w:val="en-NZ"/>
        </w:rPr>
        <w:t>It is important to note that the charts below should not be used to</w:t>
      </w:r>
      <w:r w:rsidR="00F47B28">
        <w:rPr>
          <w:lang w:val="en-NZ"/>
        </w:rPr>
        <w:t xml:space="preserve"> infer student to teacher ratio</w:t>
      </w:r>
      <w:r w:rsidRPr="00DB433A">
        <w:rPr>
          <w:lang w:val="en-NZ"/>
        </w:rPr>
        <w:t>s, as the</w:t>
      </w:r>
      <w:r w:rsidR="001D7A73">
        <w:rPr>
          <w:lang w:val="en-NZ"/>
        </w:rPr>
        <w:t xml:space="preserve"> </w:t>
      </w:r>
      <w:r w:rsidRPr="00DB433A">
        <w:rPr>
          <w:lang w:val="en-NZ"/>
        </w:rPr>
        <w:t xml:space="preserve">conversions </w:t>
      </w:r>
      <w:r w:rsidR="001D7A73">
        <w:rPr>
          <w:lang w:val="en-NZ"/>
        </w:rPr>
        <w:t xml:space="preserve">we applied </w:t>
      </w:r>
      <w:r w:rsidRPr="00DB433A">
        <w:rPr>
          <w:lang w:val="en-NZ"/>
        </w:rPr>
        <w:t xml:space="preserve">provide metrics by year </w:t>
      </w:r>
      <w:r w:rsidR="001D7A73" w:rsidRPr="00DB433A">
        <w:rPr>
          <w:lang w:val="en-NZ"/>
        </w:rPr>
        <w:t xml:space="preserve">only </w:t>
      </w:r>
      <w:r w:rsidRPr="00DB433A">
        <w:rPr>
          <w:lang w:val="en-NZ"/>
        </w:rPr>
        <w:t>to allow comparison between the Ministry’s formulae and survey responses.</w:t>
      </w:r>
    </w:p>
    <w:p w:rsidR="0002617B" w:rsidRPr="00DB433A" w:rsidRDefault="0002617B" w:rsidP="0002617B">
      <w:pPr>
        <w:pStyle w:val="Heading1BlueNumbered"/>
        <w:numPr>
          <w:ilvl w:val="0"/>
          <w:numId w:val="0"/>
        </w:numPr>
        <w:ind w:left="851" w:hanging="851"/>
      </w:pPr>
      <w:r w:rsidRPr="00DB433A">
        <w:t>Comparing schools’ allocation with the funding formulae</w:t>
      </w:r>
    </w:p>
    <w:p w:rsidR="0002617B" w:rsidRDefault="0002617B" w:rsidP="0002617B">
      <w:pPr>
        <w:rPr>
          <w:b/>
          <w:color w:val="FF0000"/>
          <w:lang w:val="en-NZ"/>
        </w:rPr>
      </w:pPr>
      <w:r w:rsidRPr="00DB433A">
        <w:rPr>
          <w:lang w:val="en-NZ"/>
        </w:rPr>
        <w:t xml:space="preserve">The chart below shows the average allocation ratio for each teaching year across respondent schools compared to </w:t>
      </w:r>
      <w:r w:rsidR="006A14A6">
        <w:rPr>
          <w:lang w:val="en-NZ"/>
        </w:rPr>
        <w:t>the allocation of staffing through the school funding model</w:t>
      </w:r>
      <w:r w:rsidRPr="00DB433A">
        <w:rPr>
          <w:lang w:val="en-NZ"/>
        </w:rPr>
        <w:t xml:space="preserve">. The chart uses the average across each school, i.e. is not weighted for the roll sizes of the schools that participated. </w:t>
      </w:r>
    </w:p>
    <w:p w:rsidR="0065327F" w:rsidRPr="00BC254E" w:rsidRDefault="0065327F" w:rsidP="0002617B">
      <w:pPr>
        <w:rPr>
          <w:b/>
          <w:lang w:val="en-NZ"/>
        </w:rPr>
      </w:pPr>
      <w:r w:rsidRPr="00BC254E">
        <w:rPr>
          <w:b/>
        </w:rPr>
        <w:t>Comparison of schools’ allocation and funding (</w:t>
      </w:r>
      <w:r>
        <w:rPr>
          <w:b/>
        </w:rPr>
        <w:t>unwei</w:t>
      </w:r>
      <w:r w:rsidR="00E163C9">
        <w:rPr>
          <w:b/>
        </w:rPr>
        <w:t>g</w:t>
      </w:r>
      <w:r>
        <w:rPr>
          <w:b/>
        </w:rPr>
        <w:t>hted</w:t>
      </w:r>
      <w:r w:rsidRPr="00BC254E">
        <w:rPr>
          <w:b/>
        </w:rPr>
        <w:t>)</w:t>
      </w:r>
    </w:p>
    <w:p w:rsidR="0002617B" w:rsidRPr="00DB433A" w:rsidRDefault="0020258C" w:rsidP="0002617B">
      <w:pPr>
        <w:rPr>
          <w:lang w:val="en-NZ"/>
        </w:rPr>
      </w:pPr>
      <w:r>
        <w:rPr>
          <w:noProof/>
          <w:lang w:val="en-NZ" w:eastAsia="en-NZ"/>
        </w:rPr>
        <w:drawing>
          <wp:inline distT="0" distB="0" distL="0" distR="0">
            <wp:extent cx="4408098" cy="2605178"/>
            <wp:effectExtent l="0" t="0" r="0" b="508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2617B" w:rsidRPr="00DB433A" w:rsidRDefault="0002617B" w:rsidP="0002617B">
      <w:pPr>
        <w:rPr>
          <w:lang w:val="en-NZ"/>
        </w:rPr>
      </w:pPr>
      <w:r w:rsidRPr="00DB433A">
        <w:rPr>
          <w:lang w:val="en-NZ"/>
        </w:rPr>
        <w:t>These suggest that schools’ teacher allocation is broadly similar to that of the FTTE entitlement formulae. Respondent schools allocate more teachers to early education years resulting in an elevated teacher-per-student ratio in Year 1. Allocations in the remaining teaching years are relatively flat with a modest upward trend for later education years.</w:t>
      </w:r>
    </w:p>
    <w:p w:rsidR="0002617B" w:rsidRDefault="0002617B" w:rsidP="0002617B">
      <w:pPr>
        <w:rPr>
          <w:lang w:val="en-NZ"/>
        </w:rPr>
      </w:pPr>
      <w:r w:rsidRPr="00DB433A">
        <w:rPr>
          <w:lang w:val="en-NZ"/>
        </w:rPr>
        <w:t>We also calculated the weighted average allocation of both respondent schools and funding model data as a second approach to compare allocations. The chart below shows the weighted average (i.e. taking account of differences in roll size between schools) allocation of respondent schools compared to funding model data.</w:t>
      </w:r>
    </w:p>
    <w:p w:rsidR="00E163C9" w:rsidRPr="00BC254E" w:rsidRDefault="00E163C9" w:rsidP="0002617B">
      <w:pPr>
        <w:rPr>
          <w:b/>
          <w:lang w:val="en-NZ"/>
        </w:rPr>
      </w:pPr>
      <w:r w:rsidRPr="00BC254E">
        <w:rPr>
          <w:b/>
        </w:rPr>
        <w:lastRenderedPageBreak/>
        <w:t>Comparison of schools’ allocation and funding (weighted)</w:t>
      </w:r>
    </w:p>
    <w:p w:rsidR="0002617B" w:rsidRPr="00DB433A" w:rsidRDefault="007C4779" w:rsidP="0002617B">
      <w:pPr>
        <w:rPr>
          <w:lang w:val="en-NZ"/>
        </w:rPr>
      </w:pPr>
      <w:r>
        <w:rPr>
          <w:noProof/>
          <w:lang w:val="en-NZ" w:eastAsia="en-NZ"/>
        </w:rPr>
        <w:drawing>
          <wp:inline distT="0" distB="0" distL="0" distR="0">
            <wp:extent cx="4408098" cy="2682815"/>
            <wp:effectExtent l="0" t="0" r="0" b="381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71981" w:rsidRDefault="0002617B" w:rsidP="0002617B">
      <w:pPr>
        <w:rPr>
          <w:lang w:val="en-NZ"/>
        </w:rPr>
      </w:pPr>
      <w:r w:rsidRPr="00DB433A">
        <w:rPr>
          <w:lang w:val="en-NZ"/>
        </w:rPr>
        <w:t xml:space="preserve">Again, the allocation across most year groups </w:t>
      </w:r>
      <w:r w:rsidR="00D71981">
        <w:rPr>
          <w:lang w:val="en-NZ"/>
        </w:rPr>
        <w:t>is</w:t>
      </w:r>
      <w:r w:rsidRPr="00DB433A">
        <w:rPr>
          <w:lang w:val="en-NZ"/>
        </w:rPr>
        <w:t xml:space="preserve"> broadly in line with the funding model. The largest difference is in the first year, where the student to teacher ratio is lowest and the effect of a different actual ratio amongst the sample has a greater proportional impact.</w:t>
      </w:r>
      <w:r w:rsidR="00D71981">
        <w:rPr>
          <w:lang w:val="en-NZ"/>
        </w:rPr>
        <w:t xml:space="preserve"> Because there were three intermediate schools in the sample, years 7 and 8 are unusually high, and comparison for these years is only valid between the actual allocation and the funding model allocation (i.e. not with other years).</w:t>
      </w:r>
    </w:p>
    <w:p w:rsidR="00191B09" w:rsidRDefault="00191B09" w:rsidP="0002617B">
      <w:pPr>
        <w:rPr>
          <w:lang w:val="en-NZ"/>
        </w:rPr>
      </w:pPr>
      <w:r>
        <w:rPr>
          <w:lang w:val="en-NZ"/>
        </w:rPr>
        <w:t>Both the unweighted and weighted results above are indicative, and we do not believe – for our small sample – that one should be considered a better indication than the other.</w:t>
      </w:r>
    </w:p>
    <w:p w:rsidR="0002617B" w:rsidRPr="00DB433A" w:rsidRDefault="0002617B" w:rsidP="0002617B">
      <w:pPr>
        <w:pStyle w:val="Heading1BlueNumbered"/>
        <w:numPr>
          <w:ilvl w:val="0"/>
          <w:numId w:val="0"/>
        </w:numPr>
        <w:ind w:left="851" w:hanging="851"/>
      </w:pPr>
      <w:r w:rsidRPr="00DB433A">
        <w:t>Differences between schools in the sample</w:t>
      </w:r>
    </w:p>
    <w:p w:rsidR="0002617B" w:rsidRPr="00DB433A" w:rsidRDefault="0002617B" w:rsidP="0002617B">
      <w:pPr>
        <w:rPr>
          <w:lang w:val="en-NZ"/>
        </w:rPr>
      </w:pPr>
      <w:r w:rsidRPr="00DB433A">
        <w:rPr>
          <w:lang w:val="en-NZ"/>
        </w:rPr>
        <w:t xml:space="preserve">The analysis above has provided an aggregate across the sample, but there was significant variation in responses. We stress that many schools found providing us such information was difficult, and we expect individual responses include estimation errors or different interpretations by schools (e.g. how to allocate teacher time for a composite year 1 and year 2 class). We believe the information is </w:t>
      </w:r>
      <w:r w:rsidR="00D71981">
        <w:rPr>
          <w:lang w:val="en-NZ"/>
        </w:rPr>
        <w:t>a useful indication</w:t>
      </w:r>
      <w:r w:rsidRPr="00DB433A">
        <w:rPr>
          <w:lang w:val="en-NZ"/>
        </w:rPr>
        <w:t xml:space="preserve"> at the aggregate level, but no conclusions should be drawn from individual school data variations.</w:t>
      </w:r>
    </w:p>
    <w:p w:rsidR="0002617B" w:rsidRPr="00DB433A" w:rsidRDefault="0002617B" w:rsidP="0002617B">
      <w:pPr>
        <w:rPr>
          <w:lang w:val="en-NZ"/>
        </w:rPr>
      </w:pPr>
      <w:r w:rsidRPr="00DB433A">
        <w:rPr>
          <w:lang w:val="en-NZ"/>
        </w:rPr>
        <w:t>We have therefore provided the information in this section only for context.</w:t>
      </w:r>
    </w:p>
    <w:p w:rsidR="0002617B" w:rsidRPr="00DB433A" w:rsidRDefault="0002617B" w:rsidP="0002617B">
      <w:pPr>
        <w:rPr>
          <w:lang w:val="en-NZ"/>
        </w:rPr>
      </w:pPr>
      <w:r w:rsidRPr="00DB433A">
        <w:rPr>
          <w:lang w:val="en-NZ"/>
        </w:rPr>
        <w:t>The distribution of individual school responses show:</w:t>
      </w:r>
    </w:p>
    <w:p w:rsidR="0002617B" w:rsidRPr="00DB433A" w:rsidRDefault="0002617B" w:rsidP="0002617B">
      <w:pPr>
        <w:pStyle w:val="ListParagraph"/>
        <w:numPr>
          <w:ilvl w:val="0"/>
          <w:numId w:val="35"/>
        </w:numPr>
        <w:rPr>
          <w:lang w:val="en-NZ"/>
        </w:rPr>
      </w:pPr>
      <w:r w:rsidRPr="00DB433A">
        <w:rPr>
          <w:lang w:val="en-NZ"/>
        </w:rPr>
        <w:t>Secondary schools had a close fit between their allocations and the Ministry formulae</w:t>
      </w:r>
    </w:p>
    <w:p w:rsidR="0002617B" w:rsidRPr="00DB433A" w:rsidRDefault="0002617B" w:rsidP="0002617B">
      <w:pPr>
        <w:pStyle w:val="ListParagraph"/>
        <w:numPr>
          <w:ilvl w:val="0"/>
          <w:numId w:val="35"/>
        </w:numPr>
        <w:rPr>
          <w:lang w:val="en-NZ"/>
        </w:rPr>
      </w:pPr>
      <w:r w:rsidRPr="00DB433A">
        <w:rPr>
          <w:lang w:val="en-NZ"/>
        </w:rPr>
        <w:t>Intermediate schools had a close fit between their allocations and the Ministry formulae</w:t>
      </w:r>
      <w:r w:rsidR="00D71981">
        <w:rPr>
          <w:lang w:val="en-NZ"/>
        </w:rPr>
        <w:t>, with no material difference in allocation between years 7 and 8</w:t>
      </w:r>
    </w:p>
    <w:p w:rsidR="0002617B" w:rsidRPr="00DB433A" w:rsidRDefault="0002617B" w:rsidP="0002617B">
      <w:pPr>
        <w:pStyle w:val="ListParagraph"/>
        <w:numPr>
          <w:ilvl w:val="0"/>
          <w:numId w:val="35"/>
        </w:numPr>
        <w:rPr>
          <w:lang w:val="en-NZ"/>
        </w:rPr>
      </w:pPr>
      <w:r w:rsidRPr="00DB433A">
        <w:rPr>
          <w:lang w:val="en-NZ"/>
        </w:rPr>
        <w:t>Primary, contributing and composite schools showed the greatest variation</w:t>
      </w:r>
    </w:p>
    <w:p w:rsidR="00362817" w:rsidRDefault="00362817" w:rsidP="0002617B">
      <w:pPr>
        <w:rPr>
          <w:lang w:val="en-NZ"/>
        </w:rPr>
      </w:pPr>
    </w:p>
    <w:p w:rsidR="00362817" w:rsidRDefault="00362817" w:rsidP="0002617B">
      <w:pPr>
        <w:rPr>
          <w:lang w:val="en-NZ"/>
        </w:rPr>
      </w:pPr>
    </w:p>
    <w:p w:rsidR="0002617B" w:rsidRPr="00DB433A" w:rsidRDefault="0002617B" w:rsidP="0002617B">
      <w:pPr>
        <w:rPr>
          <w:lang w:val="en-NZ"/>
        </w:rPr>
      </w:pPr>
      <w:r w:rsidRPr="00DB433A">
        <w:rPr>
          <w:lang w:val="en-NZ"/>
        </w:rPr>
        <w:lastRenderedPageBreak/>
        <w:t>This is likely to reflect:</w:t>
      </w:r>
    </w:p>
    <w:p w:rsidR="0002617B" w:rsidRPr="00DB433A" w:rsidRDefault="0002617B" w:rsidP="0002617B">
      <w:pPr>
        <w:pStyle w:val="ListParagraph"/>
        <w:numPr>
          <w:ilvl w:val="0"/>
          <w:numId w:val="36"/>
        </w:numPr>
        <w:rPr>
          <w:lang w:val="en-NZ"/>
        </w:rPr>
      </w:pPr>
      <w:r w:rsidRPr="00DB433A">
        <w:rPr>
          <w:lang w:val="en-NZ"/>
        </w:rPr>
        <w:t>Challenges allocating teacher time to year groups for schools with composite classes</w:t>
      </w:r>
    </w:p>
    <w:p w:rsidR="0002617B" w:rsidRPr="00DB433A" w:rsidRDefault="0002617B" w:rsidP="0002617B">
      <w:pPr>
        <w:pStyle w:val="ListParagraph"/>
        <w:numPr>
          <w:ilvl w:val="0"/>
          <w:numId w:val="36"/>
        </w:numPr>
        <w:rPr>
          <w:lang w:val="en-NZ"/>
        </w:rPr>
      </w:pPr>
      <w:r w:rsidRPr="00DB433A">
        <w:rPr>
          <w:lang w:val="en-NZ"/>
        </w:rPr>
        <w:t>Timetabling systems in place for larger schools and secondary schools, making it easier to provide data</w:t>
      </w:r>
    </w:p>
    <w:p w:rsidR="004B2F61" w:rsidRPr="00E163C9" w:rsidRDefault="0002617B" w:rsidP="00BC254E">
      <w:pPr>
        <w:pStyle w:val="ListParagraph"/>
        <w:numPr>
          <w:ilvl w:val="0"/>
          <w:numId w:val="36"/>
        </w:numPr>
        <w:rPr>
          <w:lang w:val="en-NZ"/>
        </w:rPr>
      </w:pPr>
      <w:r w:rsidRPr="00DB433A">
        <w:rPr>
          <w:lang w:val="en-NZ"/>
        </w:rPr>
        <w:t>Several smaller primary schools in the sample, where even 1-2 students difference in class size would show as a significant variance compared to the funding formulae</w:t>
      </w:r>
    </w:p>
    <w:p w:rsidR="0002617B" w:rsidRPr="00DB433A" w:rsidRDefault="0002617B" w:rsidP="0002617B">
      <w:pPr>
        <w:pStyle w:val="Sectionintro"/>
        <w:rPr>
          <w:lang w:val="en-NZ"/>
        </w:rPr>
      </w:pPr>
      <w:r w:rsidRPr="00DB433A">
        <w:rPr>
          <w:lang w:val="en-NZ"/>
        </w:rPr>
        <w:t>Timetables and subject choice</w:t>
      </w:r>
    </w:p>
    <w:p w:rsidR="0002617B" w:rsidRDefault="0002617B" w:rsidP="0002617B">
      <w:pPr>
        <w:rPr>
          <w:lang w:val="en-NZ"/>
        </w:rPr>
      </w:pPr>
      <w:r w:rsidRPr="00DB433A">
        <w:rPr>
          <w:lang w:val="en-NZ"/>
        </w:rPr>
        <w:t xml:space="preserve">We were provided with indicative timetable information from </w:t>
      </w:r>
      <w:r w:rsidR="00D71981">
        <w:rPr>
          <w:lang w:val="en-NZ"/>
        </w:rPr>
        <w:t>two</w:t>
      </w:r>
      <w:r w:rsidRPr="00DB433A">
        <w:rPr>
          <w:lang w:val="en-NZ"/>
        </w:rPr>
        <w:t xml:space="preserve"> secondary schools. This data was consistent with our interviews of secondary schools, indicating that smaller average class sizes for years 12 and 13 tend to be the result of broad subject choice rather than deliberate efforts to maintain smaller class sizes for those years in general.</w:t>
      </w:r>
    </w:p>
    <w:p w:rsidR="0053387E" w:rsidRPr="00DB433A" w:rsidRDefault="0053387E" w:rsidP="0002617B">
      <w:pPr>
        <w:rPr>
          <w:lang w:val="en-NZ"/>
        </w:rPr>
      </w:pPr>
      <w:r>
        <w:rPr>
          <w:lang w:val="en-NZ"/>
        </w:rPr>
        <w:t xml:space="preserve">The information below is illustrative only </w:t>
      </w:r>
      <w:r w:rsidR="00D71981">
        <w:rPr>
          <w:lang w:val="en-NZ"/>
        </w:rPr>
        <w:t>because it is based only two schools</w:t>
      </w:r>
      <w:r>
        <w:rPr>
          <w:lang w:val="en-NZ"/>
        </w:rPr>
        <w:t>.</w:t>
      </w:r>
    </w:p>
    <w:p w:rsidR="0002617B" w:rsidRPr="00DB433A" w:rsidRDefault="0002617B" w:rsidP="0002617B">
      <w:pPr>
        <w:pStyle w:val="Heading1BlueNumbered"/>
        <w:numPr>
          <w:ilvl w:val="0"/>
          <w:numId w:val="0"/>
        </w:numPr>
        <w:ind w:left="851" w:hanging="851"/>
      </w:pPr>
      <w:r w:rsidRPr="00DB433A">
        <w:t>Average class size across year groups</w:t>
      </w:r>
    </w:p>
    <w:p w:rsidR="0002617B" w:rsidRDefault="0002617B" w:rsidP="0002617B">
      <w:pPr>
        <w:rPr>
          <w:lang w:val="en-NZ"/>
        </w:rPr>
      </w:pPr>
      <w:r w:rsidRPr="00DB433A">
        <w:rPr>
          <w:lang w:val="en-NZ"/>
        </w:rPr>
        <w:t>The timetable data for each school showed larger average class sizes for years 9 and 10, and lower average class sizes for years 12 and 13, as shown in the chart below:</w:t>
      </w:r>
    </w:p>
    <w:p w:rsidR="00E163C9" w:rsidRPr="00BC254E" w:rsidRDefault="00E163C9" w:rsidP="0002617B">
      <w:pPr>
        <w:rPr>
          <w:b/>
          <w:lang w:val="en-NZ"/>
        </w:rPr>
      </w:pPr>
      <w:r>
        <w:rPr>
          <w:b/>
          <w:lang w:val="en-NZ"/>
        </w:rPr>
        <w:t>Average Class Size</w:t>
      </w:r>
    </w:p>
    <w:tbl>
      <w:tblPr>
        <w:tblStyle w:val="TableGrid"/>
        <w:tblW w:w="0" w:type="auto"/>
        <w:tblCellMar>
          <w:left w:w="108" w:type="dxa"/>
          <w:right w:w="108" w:type="dxa"/>
        </w:tblCellMar>
        <w:tblLook w:val="04A0"/>
      </w:tblPr>
      <w:tblGrid>
        <w:gridCol w:w="6945"/>
      </w:tblGrid>
      <w:tr w:rsidR="0002617B" w:rsidRPr="00DB433A" w:rsidTr="00E163C9">
        <w:trPr>
          <w:cnfStyle w:val="100000000000"/>
        </w:trPr>
        <w:tc>
          <w:tcPr>
            <w:tcW w:w="6945" w:type="dxa"/>
          </w:tcPr>
          <w:p w:rsidR="0002617B" w:rsidRPr="00DB433A" w:rsidRDefault="00E163C9" w:rsidP="00B53AB9">
            <w:pPr>
              <w:rPr>
                <w:lang w:val="en-NZ"/>
              </w:rPr>
            </w:pPr>
            <w:r>
              <w:rPr>
                <w:noProof/>
                <w:lang w:val="en-NZ" w:eastAsia="en-NZ"/>
              </w:rPr>
              <w:t xml:space="preserve"> </w:t>
            </w:r>
            <w:r>
              <w:rPr>
                <w:noProof/>
                <w:lang w:val="en-NZ" w:eastAsia="en-NZ"/>
              </w:rPr>
              <w:drawing>
                <wp:inline distT="0" distB="0" distL="0" distR="0">
                  <wp:extent cx="3795622" cy="1086928"/>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02617B" w:rsidRPr="00DB433A" w:rsidRDefault="0002617B" w:rsidP="0002617B">
      <w:pPr>
        <w:pStyle w:val="Heading1BlueNumbered"/>
        <w:numPr>
          <w:ilvl w:val="0"/>
          <w:numId w:val="0"/>
        </w:numPr>
        <w:ind w:left="851" w:hanging="851"/>
      </w:pPr>
      <w:r w:rsidRPr="00DB433A">
        <w:t>Range of class size across year groups</w:t>
      </w:r>
    </w:p>
    <w:p w:rsidR="0002617B" w:rsidRDefault="0002617B" w:rsidP="0002617B">
      <w:pPr>
        <w:rPr>
          <w:lang w:val="en-NZ"/>
        </w:rPr>
      </w:pPr>
      <w:r w:rsidRPr="00DB433A">
        <w:rPr>
          <w:lang w:val="en-NZ"/>
        </w:rPr>
        <w:t>However, the decreasing average is driven by a greater number of subjects with relatively small class sizes in years 12 and 13. The chart below shows the proportion of subjects for each year group that have selected class size characteristics:</w:t>
      </w:r>
    </w:p>
    <w:p w:rsidR="00E163C9" w:rsidRPr="00BC254E" w:rsidRDefault="00E163C9" w:rsidP="0002617B">
      <w:pPr>
        <w:rPr>
          <w:b/>
          <w:lang w:val="en-NZ"/>
        </w:rPr>
      </w:pPr>
      <w:r>
        <w:rPr>
          <w:b/>
          <w:lang w:val="en-NZ"/>
        </w:rPr>
        <w:t>Class sizes by year group across subjects</w:t>
      </w:r>
    </w:p>
    <w:tbl>
      <w:tblPr>
        <w:tblStyle w:val="TableGrid"/>
        <w:tblW w:w="0" w:type="auto"/>
        <w:tblCellMar>
          <w:left w:w="108" w:type="dxa"/>
          <w:right w:w="108" w:type="dxa"/>
        </w:tblCellMar>
        <w:tblLook w:val="04A0"/>
      </w:tblPr>
      <w:tblGrid>
        <w:gridCol w:w="6945"/>
      </w:tblGrid>
      <w:tr w:rsidR="0002617B" w:rsidRPr="00DB433A" w:rsidTr="00E163C9">
        <w:trPr>
          <w:cnfStyle w:val="100000000000"/>
        </w:trPr>
        <w:tc>
          <w:tcPr>
            <w:tcW w:w="6945" w:type="dxa"/>
          </w:tcPr>
          <w:p w:rsidR="0002617B" w:rsidRPr="00DB433A" w:rsidRDefault="00E163C9" w:rsidP="00B53AB9">
            <w:pPr>
              <w:rPr>
                <w:lang w:val="en-NZ"/>
              </w:rPr>
            </w:pPr>
            <w:r>
              <w:rPr>
                <w:noProof/>
                <w:lang w:val="en-NZ" w:eastAsia="en-NZ"/>
              </w:rPr>
              <w:t xml:space="preserve"> </w:t>
            </w:r>
            <w:r>
              <w:rPr>
                <w:noProof/>
                <w:lang w:val="en-NZ" w:eastAsia="en-NZ"/>
              </w:rPr>
              <w:drawing>
                <wp:inline distT="0" distB="0" distL="0" distR="0">
                  <wp:extent cx="4149305" cy="1656271"/>
                  <wp:effectExtent l="0" t="0" r="381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02617B" w:rsidRPr="00DB433A" w:rsidRDefault="0002617B" w:rsidP="0002617B">
      <w:pPr>
        <w:rPr>
          <w:lang w:val="en-NZ"/>
        </w:rPr>
      </w:pPr>
      <w:r w:rsidRPr="00DB433A">
        <w:rPr>
          <w:lang w:val="en-NZ"/>
        </w:rPr>
        <w:lastRenderedPageBreak/>
        <w:t>Note this is weighted by the number of subjects and not the number of students. It supports what schools told us in interviews – i.e. that schools will trade off large class sizes in “core” subjects where there are a lot of students, so that they can offer other subjects with much lower numbers of students.</w:t>
      </w:r>
    </w:p>
    <w:p w:rsidR="00362817" w:rsidRDefault="00362817">
      <w:pPr>
        <w:spacing w:after="200" w:line="276" w:lineRule="auto"/>
        <w:rPr>
          <w:sz w:val="60"/>
          <w:lang w:val="en-NZ"/>
        </w:rPr>
      </w:pPr>
      <w:r>
        <w:rPr>
          <w:lang w:val="en-NZ"/>
        </w:rPr>
        <w:br w:type="page"/>
      </w:r>
    </w:p>
    <w:p w:rsidR="00C5303A" w:rsidRPr="00DB433A" w:rsidRDefault="00C5303A" w:rsidP="00C5303A">
      <w:pPr>
        <w:pStyle w:val="Sectiontitle"/>
        <w:rPr>
          <w:lang w:val="en-NZ"/>
        </w:rPr>
      </w:pPr>
      <w:bookmarkStart w:id="8" w:name="_Toc463604450"/>
      <w:r w:rsidRPr="00DB433A">
        <w:rPr>
          <w:lang w:val="en-NZ"/>
        </w:rPr>
        <w:lastRenderedPageBreak/>
        <w:t>About information collection</w:t>
      </w:r>
      <w:bookmarkEnd w:id="8"/>
    </w:p>
    <w:p w:rsidR="00AE5A08" w:rsidRDefault="00AE5A08" w:rsidP="00AE5A08">
      <w:pPr>
        <w:pStyle w:val="Sectionintro"/>
        <w:rPr>
          <w:lang w:val="en-NZ"/>
        </w:rPr>
      </w:pPr>
      <w:r w:rsidRPr="00DB433A">
        <w:rPr>
          <w:lang w:val="en-NZ"/>
        </w:rPr>
        <w:t>Summary</w:t>
      </w:r>
    </w:p>
    <w:p w:rsidR="00AE5A08" w:rsidRDefault="00AE5A08" w:rsidP="00AE5A08">
      <w:pPr>
        <w:rPr>
          <w:lang w:val="en-NZ"/>
        </w:rPr>
      </w:pPr>
      <w:r>
        <w:rPr>
          <w:lang w:val="en-NZ"/>
        </w:rPr>
        <w:t>In this section, we have provided some considerations for further or similar research relating to schools’ expenditure and decision-making processes. These reflect our learnings from this eight-week project.</w:t>
      </w:r>
    </w:p>
    <w:p w:rsidR="00AE5A08" w:rsidRPr="00DB433A" w:rsidRDefault="00AE5A08" w:rsidP="00AE5A08">
      <w:pPr>
        <w:pStyle w:val="Sectionintro"/>
        <w:rPr>
          <w:lang w:val="en-NZ"/>
        </w:rPr>
      </w:pPr>
      <w:r w:rsidRPr="00DB433A">
        <w:rPr>
          <w:lang w:val="en-NZ"/>
        </w:rPr>
        <w:t>Time</w:t>
      </w:r>
      <w:r>
        <w:rPr>
          <w:lang w:val="en-NZ"/>
        </w:rPr>
        <w:t>frames and availability of schools</w:t>
      </w:r>
    </w:p>
    <w:p w:rsidR="00AE5A08" w:rsidRDefault="00AE5A08" w:rsidP="00AE5A08">
      <w:pPr>
        <w:rPr>
          <w:lang w:val="en-NZ"/>
        </w:rPr>
      </w:pPr>
      <w:r>
        <w:rPr>
          <w:lang w:val="en-NZ"/>
        </w:rPr>
        <w:t>The initial sample for our survey was 113 schools. Fewer than half were able to respond. In some cases, it was also very difficult to get through to key people to follow up – e.g. via emails and voicemails.</w:t>
      </w:r>
    </w:p>
    <w:p w:rsidR="00AE5A08" w:rsidRDefault="00AE5A08" w:rsidP="00AE5A08">
      <w:pPr>
        <w:rPr>
          <w:lang w:val="en-NZ"/>
        </w:rPr>
      </w:pPr>
      <w:r>
        <w:rPr>
          <w:lang w:val="en-NZ"/>
        </w:rPr>
        <w:t>Staff at schools are clearly busy, and over any short period in the year there will be reasons why capacity to respond to information requests is limited – school trips, camps, and a secondary schools sports tournament were some of the reasons we know of why schools were unable to respond to us within our very limited timeframes.</w:t>
      </w:r>
    </w:p>
    <w:p w:rsidR="00AE5A08" w:rsidRDefault="00AE5A08" w:rsidP="00AE5A08">
      <w:pPr>
        <w:rPr>
          <w:lang w:val="en-NZ"/>
        </w:rPr>
      </w:pPr>
      <w:r>
        <w:rPr>
          <w:lang w:val="en-NZ"/>
        </w:rPr>
        <w:t>We believe that rigorous information collection needs to allow for lead times to plan and communicate timeframes, establish the network of key contacts, and have dialogue about availability. It also requires sufficient time for schools to source or estimate data where that is not readily available to them, and for questions and support during the process to ensure consistent understanding.</w:t>
      </w:r>
    </w:p>
    <w:p w:rsidR="00AE5A08" w:rsidRDefault="00AE5A08" w:rsidP="00AE5A08">
      <w:pPr>
        <w:rPr>
          <w:lang w:val="en-NZ"/>
        </w:rPr>
      </w:pPr>
      <w:r>
        <w:rPr>
          <w:lang w:val="en-NZ"/>
        </w:rPr>
        <w:t>We would like to acknowledge again that all of the people at schools we talked to saw this research as important, and were generous with their time in order to participate.</w:t>
      </w:r>
    </w:p>
    <w:p w:rsidR="00AE5A08" w:rsidRPr="00DB433A" w:rsidRDefault="00AE5A08" w:rsidP="00AE5A08">
      <w:pPr>
        <w:pStyle w:val="Sectionintro"/>
        <w:rPr>
          <w:lang w:val="en-NZ"/>
        </w:rPr>
      </w:pPr>
      <w:r>
        <w:rPr>
          <w:lang w:val="en-NZ"/>
        </w:rPr>
        <w:t>Information availability and quality</w:t>
      </w:r>
    </w:p>
    <w:p w:rsidR="00AE5A08" w:rsidRPr="00DB433A" w:rsidRDefault="00AE5A08" w:rsidP="00AE5A08">
      <w:pPr>
        <w:pStyle w:val="Heading1BlueNumbered"/>
        <w:numPr>
          <w:ilvl w:val="0"/>
          <w:numId w:val="0"/>
        </w:numPr>
        <w:ind w:left="851" w:hanging="851"/>
      </w:pPr>
      <w:r>
        <w:t>Information from schools</w:t>
      </w:r>
    </w:p>
    <w:p w:rsidR="00AE5A08" w:rsidRDefault="00AE5A08" w:rsidP="00AE5A08">
      <w:pPr>
        <w:rPr>
          <w:lang w:val="en-NZ"/>
        </w:rPr>
      </w:pPr>
      <w:r>
        <w:rPr>
          <w:lang w:val="en-NZ"/>
        </w:rPr>
        <w:t>The systems and management resources available to schools vary significantly. Large secondary schools tend to have timetabling and similar systems, which can provide some structured data. Many of the schools who responded to our survey had to estimate the information we sought on a best endeavours basis.</w:t>
      </w:r>
    </w:p>
    <w:p w:rsidR="00AE5A08" w:rsidRDefault="00AE5A08" w:rsidP="00AE5A08">
      <w:pPr>
        <w:rPr>
          <w:lang w:val="en-NZ"/>
        </w:rPr>
      </w:pPr>
      <w:r>
        <w:rPr>
          <w:lang w:val="en-NZ"/>
        </w:rPr>
        <w:t>Schools also interpret terms and classifications in different ways – for example, “co-curricular” is a commonly used term but means different things to different people. While Kiwi Park has already achieved a greater degree of consistency in schools’ financial information, there are clearly a range of ways schools account for similar items.</w:t>
      </w:r>
    </w:p>
    <w:p w:rsidR="00AE5A08" w:rsidRDefault="00AE5A08" w:rsidP="00AE5A08">
      <w:pPr>
        <w:rPr>
          <w:lang w:val="en-NZ"/>
        </w:rPr>
      </w:pPr>
      <w:r>
        <w:rPr>
          <w:lang w:val="en-NZ"/>
        </w:rPr>
        <w:t>This suggests that information collection exercises need to spend time upfront engaging with the sector to:</w:t>
      </w:r>
    </w:p>
    <w:p w:rsidR="00AE5A08" w:rsidRDefault="00AE5A08" w:rsidP="00AE5A08">
      <w:pPr>
        <w:pStyle w:val="ListParagraph"/>
        <w:numPr>
          <w:ilvl w:val="0"/>
          <w:numId w:val="38"/>
        </w:numPr>
        <w:rPr>
          <w:lang w:val="en-NZ"/>
        </w:rPr>
      </w:pPr>
      <w:r>
        <w:rPr>
          <w:lang w:val="en-NZ"/>
        </w:rPr>
        <w:lastRenderedPageBreak/>
        <w:t>Achieve common understanding of objectives – e.g. to test specific hypotheses</w:t>
      </w:r>
    </w:p>
    <w:p w:rsidR="00AE5A08" w:rsidRDefault="00AE5A08" w:rsidP="00AE5A08">
      <w:pPr>
        <w:pStyle w:val="ListParagraph"/>
        <w:numPr>
          <w:ilvl w:val="0"/>
          <w:numId w:val="38"/>
        </w:numPr>
        <w:rPr>
          <w:lang w:val="en-NZ"/>
        </w:rPr>
      </w:pPr>
      <w:r>
        <w:rPr>
          <w:lang w:val="en-NZ"/>
        </w:rPr>
        <w:t>Understand schools’ perspectives and limitations about data sources</w:t>
      </w:r>
    </w:p>
    <w:p w:rsidR="00AE5A08" w:rsidRDefault="00AE5A08" w:rsidP="00AE5A08">
      <w:pPr>
        <w:pStyle w:val="ListParagraph"/>
        <w:numPr>
          <w:ilvl w:val="0"/>
          <w:numId w:val="38"/>
        </w:numPr>
        <w:rPr>
          <w:lang w:val="en-NZ"/>
        </w:rPr>
      </w:pPr>
      <w:r>
        <w:rPr>
          <w:lang w:val="en-NZ"/>
        </w:rPr>
        <w:t>Establish clear definitions for categories / terms</w:t>
      </w:r>
    </w:p>
    <w:p w:rsidR="00AE5A08" w:rsidRDefault="00AE5A08" w:rsidP="00AE5A08">
      <w:pPr>
        <w:pStyle w:val="ListParagraph"/>
        <w:numPr>
          <w:ilvl w:val="0"/>
          <w:numId w:val="38"/>
        </w:numPr>
        <w:rPr>
          <w:lang w:val="en-NZ"/>
        </w:rPr>
      </w:pPr>
      <w:r>
        <w:rPr>
          <w:lang w:val="en-NZ"/>
        </w:rPr>
        <w:t>Discuss mitigations and impacts relating to data quality</w:t>
      </w:r>
    </w:p>
    <w:p w:rsidR="00AE5A08" w:rsidRPr="00F00916" w:rsidRDefault="00AE5A08" w:rsidP="00AE5A08">
      <w:pPr>
        <w:rPr>
          <w:lang w:val="en-NZ"/>
        </w:rPr>
      </w:pPr>
      <w:r>
        <w:rPr>
          <w:lang w:val="en-NZ"/>
        </w:rPr>
        <w:t xml:space="preserve">It may also be useful to engage with school advisors – e.g. accountants and software providers – who might have insights or channels to information for multiple schools. For example, timetabling data may be difficult to extract for individual schools in a structured and consistent format for analysis across large volumes. Timetable software providers, armed with an understanding of analysis requirements, may be able to facilitate extraction, </w:t>
      </w:r>
      <w:r w:rsidR="002D2084">
        <w:rPr>
          <w:lang w:val="en-NZ"/>
        </w:rPr>
        <w:t>aggregation</w:t>
      </w:r>
      <w:r>
        <w:rPr>
          <w:lang w:val="en-NZ"/>
        </w:rPr>
        <w:t xml:space="preserve"> and data cleansing.</w:t>
      </w:r>
    </w:p>
    <w:p w:rsidR="00AE5A08" w:rsidRPr="00DB433A" w:rsidRDefault="00AE5A08" w:rsidP="00AE5A08">
      <w:pPr>
        <w:pStyle w:val="Heading1BlueNumbered"/>
        <w:numPr>
          <w:ilvl w:val="0"/>
          <w:numId w:val="0"/>
        </w:numPr>
        <w:ind w:left="851" w:hanging="851"/>
      </w:pPr>
      <w:r>
        <w:t>Information from central sources</w:t>
      </w:r>
    </w:p>
    <w:p w:rsidR="00AE5A08" w:rsidRDefault="00AE5A08" w:rsidP="00AE5A08">
      <w:pPr>
        <w:rPr>
          <w:lang w:val="en-NZ"/>
        </w:rPr>
      </w:pPr>
      <w:r>
        <w:rPr>
          <w:lang w:val="en-NZ"/>
        </w:rPr>
        <w:t>The Ministry’s holds a range of detailed information about schools. The data we used to inform our report was extracted</w:t>
      </w:r>
      <w:r w:rsidRPr="00F00916">
        <w:rPr>
          <w:lang w:val="en-NZ"/>
        </w:rPr>
        <w:t xml:space="preserve"> </w:t>
      </w:r>
      <w:r>
        <w:rPr>
          <w:lang w:val="en-NZ"/>
        </w:rPr>
        <w:t>specifically for us, and needed coordination across multiple sources and subject matter experts.</w:t>
      </w:r>
    </w:p>
    <w:p w:rsidR="00AE5A08" w:rsidRDefault="00AE5A08" w:rsidP="00AE5A08">
      <w:pPr>
        <w:rPr>
          <w:lang w:val="en-NZ"/>
        </w:rPr>
      </w:pPr>
      <w:r>
        <w:rPr>
          <w:lang w:val="en-NZ"/>
        </w:rPr>
        <w:t>As is common with such bespoke extracts, the data required checking, identification of errors and cleansing.</w:t>
      </w:r>
    </w:p>
    <w:p w:rsidR="006E5474" w:rsidRPr="00AE5A08" w:rsidRDefault="00AE5A08" w:rsidP="00AE5A08">
      <w:pPr>
        <w:rPr>
          <w:lang w:val="en-NZ"/>
        </w:rPr>
      </w:pPr>
      <w:r>
        <w:rPr>
          <w:lang w:val="en-NZ"/>
        </w:rPr>
        <w:t>The Ministry could consider a stock-take of its information about schools so that it can be checked, collated and stored in a consistent way to make future research projects easier.</w:t>
      </w:r>
    </w:p>
    <w:p w:rsidR="00F977A8" w:rsidRDefault="00F977A8">
      <w:pPr>
        <w:spacing w:after="200" w:line="276" w:lineRule="auto"/>
        <w:rPr>
          <w:lang w:val="en-NZ"/>
        </w:rPr>
      </w:pPr>
    </w:p>
    <w:p w:rsidR="00F977A8" w:rsidRDefault="00F977A8">
      <w:pPr>
        <w:spacing w:after="200" w:line="276" w:lineRule="auto"/>
        <w:rPr>
          <w:lang w:val="en-NZ"/>
        </w:rPr>
      </w:pPr>
      <w:r>
        <w:rPr>
          <w:lang w:val="en-NZ"/>
        </w:rPr>
        <w:br w:type="page"/>
      </w:r>
    </w:p>
    <w:p w:rsidR="00F977A8" w:rsidRPr="00DB433A" w:rsidRDefault="00F977A8" w:rsidP="00F977A8">
      <w:pPr>
        <w:pStyle w:val="Sectiontitle"/>
        <w:rPr>
          <w:lang w:val="en-NZ"/>
        </w:rPr>
      </w:pPr>
      <w:bookmarkStart w:id="9" w:name="_Toc463604451"/>
      <w:r>
        <w:rPr>
          <w:lang w:val="en-NZ"/>
        </w:rPr>
        <w:lastRenderedPageBreak/>
        <w:t>Disclaimer</w:t>
      </w:r>
      <w:bookmarkEnd w:id="9"/>
    </w:p>
    <w:p w:rsidR="00F977A8" w:rsidRPr="0007172F" w:rsidRDefault="00F977A8" w:rsidP="00F977A8">
      <w:pPr>
        <w:rPr>
          <w:lang w:val="en-NZ"/>
        </w:rPr>
      </w:pPr>
      <w:r w:rsidRPr="0007172F">
        <w:rPr>
          <w:lang w:val="en-NZ"/>
        </w:rPr>
        <w:t xml:space="preserve">This report was prepared solely in accordance with the specific terms of reference between </w:t>
      </w:r>
      <w:r>
        <w:rPr>
          <w:lang w:val="en-NZ"/>
        </w:rPr>
        <w:t>Deloitte</w:t>
      </w:r>
      <w:r w:rsidRPr="0007172F">
        <w:rPr>
          <w:lang w:val="en-NZ"/>
        </w:rPr>
        <w:t xml:space="preserve"> and the Ministry of </w:t>
      </w:r>
      <w:r>
        <w:rPr>
          <w:lang w:val="en-NZ"/>
        </w:rPr>
        <w:t>Education</w:t>
      </w:r>
      <w:r w:rsidRPr="0007172F">
        <w:rPr>
          <w:lang w:val="en-NZ"/>
        </w:rPr>
        <w:t>, and for no other pu</w:t>
      </w:r>
      <w:r>
        <w:rPr>
          <w:lang w:val="en-NZ"/>
        </w:rPr>
        <w:t>rpose.</w:t>
      </w:r>
      <w:r w:rsidRPr="0007172F">
        <w:t xml:space="preserve"> </w:t>
      </w:r>
      <w:r w:rsidRPr="0007172F">
        <w:rPr>
          <w:lang w:val="en-NZ"/>
        </w:rPr>
        <w:t>Other than our responsibilities to the Ministry, neither Deloitte nor any member or employee of Deloitte undertakes responsibility arising in any way from reliance placed by a third party on this report. Any reliance placed is that party’s sole responsibility. Deloitte accepts or assumes no duty, responsibility or liability to any other party in connection with the report or this engagement, including without limitation, liability for negligence in relation to the factual findings expressed or implied in this report.</w:t>
      </w:r>
    </w:p>
    <w:p w:rsidR="00F977A8" w:rsidRPr="0007172F" w:rsidRDefault="00F977A8" w:rsidP="00F977A8">
      <w:pPr>
        <w:rPr>
          <w:lang w:val="en-NZ"/>
        </w:rPr>
      </w:pPr>
      <w:r w:rsidRPr="0007172F">
        <w:rPr>
          <w:lang w:val="en-NZ"/>
        </w:rPr>
        <w:t xml:space="preserve">The report is based upon information provided by the Ministry and </w:t>
      </w:r>
      <w:r>
        <w:rPr>
          <w:lang w:val="en-NZ"/>
        </w:rPr>
        <w:t>schools</w:t>
      </w:r>
      <w:r w:rsidRPr="0007172F">
        <w:rPr>
          <w:lang w:val="en-NZ"/>
        </w:rPr>
        <w:t>. Deloitte has considered and relied upon this information. Deloitte has assumed that the information provided was reliable, complete and not misleading and has no reason to believe that any material facts have been withheld. The information provided has been considered through analysis, enquiry and review for the purposes of this report. However, Deloitte does not warrant in any way that these enquiries have identified or verified all of the matters which an audit, extensive examination or due diligence investigation might disclose.</w:t>
      </w:r>
    </w:p>
    <w:p w:rsidR="00F977A8" w:rsidRPr="0007172F" w:rsidRDefault="00F977A8" w:rsidP="00F977A8">
      <w:pPr>
        <w:rPr>
          <w:lang w:val="en-NZ"/>
        </w:rPr>
      </w:pPr>
      <w:r w:rsidRPr="0007172F">
        <w:rPr>
          <w:lang w:val="en-NZ"/>
        </w:rPr>
        <w:t>The statements and opinions expressed in this report have been made in good faith and on the basis that all relevant information for the purposes of preparing this report has been provided by the Ministry and interviewees and that all such information is true and accurate in all material aspects and not misleading by reason of omission or otherwise. Accordingly, neither Deloitte nor its partners, directors, employees or agents, accept any responsibility or liability for any such information being inaccurate, incomplete, unreliable or not soundly based, or for any errors in the analysis, statements or opinions provided in this report resulting directly or indirectly from any such circumstances or from any assumptions upon which this report is based proving unjustified.</w:t>
      </w:r>
    </w:p>
    <w:p w:rsidR="00F977A8" w:rsidRPr="00DB433A" w:rsidRDefault="00F977A8" w:rsidP="00F977A8">
      <w:pPr>
        <w:rPr>
          <w:lang w:val="en-NZ"/>
        </w:rPr>
      </w:pPr>
      <w:r w:rsidRPr="0007172F">
        <w:rPr>
          <w:lang w:val="en-NZ"/>
        </w:rPr>
        <w:t xml:space="preserve">This report dated </w:t>
      </w:r>
      <w:r w:rsidR="007778BB">
        <w:rPr>
          <w:lang w:val="en-NZ"/>
        </w:rPr>
        <w:t>7</w:t>
      </w:r>
      <w:r w:rsidR="00F4486A">
        <w:rPr>
          <w:lang w:val="en-NZ"/>
        </w:rPr>
        <w:t xml:space="preserve"> October</w:t>
      </w:r>
      <w:r>
        <w:rPr>
          <w:lang w:val="en-NZ"/>
        </w:rPr>
        <w:t xml:space="preserve"> 2016</w:t>
      </w:r>
      <w:r w:rsidRPr="0007172F">
        <w:rPr>
          <w:lang w:val="en-NZ"/>
        </w:rPr>
        <w:t xml:space="preserve"> was prepared based on the information available at the time. Deloitte has no obligation to update our report or revise the information contained therein due to events and information subsequent to the date of the report.</w:t>
      </w:r>
    </w:p>
    <w:p w:rsidR="00DB433A" w:rsidRPr="00DB433A" w:rsidRDefault="00DB433A">
      <w:pPr>
        <w:spacing w:after="200" w:line="276" w:lineRule="auto"/>
        <w:rPr>
          <w:lang w:val="en-NZ"/>
        </w:rPr>
      </w:pPr>
      <w:r w:rsidRPr="00DB433A">
        <w:rPr>
          <w:lang w:val="en-NZ"/>
        </w:rPr>
        <w:br w:type="page"/>
      </w:r>
    </w:p>
    <w:p w:rsidR="00DB433A" w:rsidRPr="00DB433A" w:rsidRDefault="00DB433A" w:rsidP="00DB433A">
      <w:pPr>
        <w:pStyle w:val="Sectiontitle"/>
        <w:rPr>
          <w:lang w:val="en-NZ"/>
        </w:rPr>
      </w:pPr>
      <w:bookmarkStart w:id="10" w:name="_Toc463604452"/>
      <w:r w:rsidRPr="00DB433A">
        <w:rPr>
          <w:lang w:val="en-NZ"/>
        </w:rPr>
        <w:lastRenderedPageBreak/>
        <w:t>Appendix A: Data Normalisation</w:t>
      </w:r>
      <w:bookmarkEnd w:id="10"/>
    </w:p>
    <w:p w:rsidR="00DB433A" w:rsidRPr="00DB433A" w:rsidRDefault="00DB433A" w:rsidP="00DB433A">
      <w:pPr>
        <w:rPr>
          <w:lang w:val="en-NZ"/>
        </w:rPr>
      </w:pPr>
      <w:r w:rsidRPr="00DB433A">
        <w:rPr>
          <w:lang w:val="en-NZ"/>
        </w:rPr>
        <w:t xml:space="preserve">This appendix explains how we </w:t>
      </w:r>
      <w:r>
        <w:rPr>
          <w:lang w:val="en-NZ"/>
        </w:rPr>
        <w:t>normalis</w:t>
      </w:r>
      <w:r w:rsidRPr="00DB433A">
        <w:rPr>
          <w:lang w:val="en-NZ"/>
        </w:rPr>
        <w:t xml:space="preserve">ed </w:t>
      </w:r>
      <w:r>
        <w:rPr>
          <w:lang w:val="en-NZ"/>
        </w:rPr>
        <w:t xml:space="preserve">data for </w:t>
      </w:r>
      <w:r w:rsidRPr="00DB433A">
        <w:rPr>
          <w:lang w:val="en-NZ"/>
        </w:rPr>
        <w:t xml:space="preserve">allocation </w:t>
      </w:r>
      <w:r>
        <w:rPr>
          <w:lang w:val="en-NZ"/>
        </w:rPr>
        <w:t xml:space="preserve">of teachers to year groups. We have provided a </w:t>
      </w:r>
      <w:r w:rsidR="00AE5A08">
        <w:rPr>
          <w:lang w:val="en-NZ"/>
        </w:rPr>
        <w:t>specific illustration</w:t>
      </w:r>
      <w:r>
        <w:rPr>
          <w:lang w:val="en-NZ"/>
        </w:rPr>
        <w:t xml:space="preserve"> </w:t>
      </w:r>
      <w:r w:rsidRPr="00DB433A">
        <w:rPr>
          <w:lang w:val="en-NZ"/>
        </w:rPr>
        <w:t xml:space="preserve">to </w:t>
      </w:r>
      <w:r>
        <w:rPr>
          <w:lang w:val="en-NZ"/>
        </w:rPr>
        <w:t>show how the approaches work</w:t>
      </w:r>
      <w:r w:rsidRPr="00DB433A">
        <w:rPr>
          <w:lang w:val="en-NZ"/>
        </w:rPr>
        <w:t>.</w:t>
      </w:r>
    </w:p>
    <w:p w:rsidR="00DB433A" w:rsidRPr="00DB433A" w:rsidRDefault="00DB433A" w:rsidP="00DB433A">
      <w:pPr>
        <w:rPr>
          <w:lang w:val="en-NZ"/>
        </w:rPr>
      </w:pPr>
      <w:r w:rsidRPr="00DB433A">
        <w:rPr>
          <w:lang w:val="en-NZ"/>
        </w:rPr>
        <w:t xml:space="preserve">The examples in this appendix are based on the following </w:t>
      </w:r>
      <w:r>
        <w:rPr>
          <w:lang w:val="en-NZ"/>
        </w:rPr>
        <w:t>illustrative</w:t>
      </w:r>
      <w:r w:rsidRPr="00DB433A">
        <w:rPr>
          <w:lang w:val="en-NZ"/>
        </w:rPr>
        <w:t xml:space="preserve"> data:</w:t>
      </w:r>
    </w:p>
    <w:p w:rsidR="00DB433A" w:rsidRPr="00DB433A" w:rsidRDefault="00DB433A" w:rsidP="00DB433A">
      <w:pPr>
        <w:rPr>
          <w:lang w:val="en-NZ"/>
        </w:rPr>
      </w:pPr>
      <w:r w:rsidRPr="00DB433A">
        <w:rPr>
          <w:noProof/>
          <w:lang w:val="en-NZ" w:eastAsia="en-NZ"/>
        </w:rPr>
        <w:drawing>
          <wp:inline distT="0" distB="0" distL="0" distR="0">
            <wp:extent cx="4235570" cy="23083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537" cy="2311590"/>
                    </a:xfrm>
                    <a:prstGeom prst="rect">
                      <a:avLst/>
                    </a:prstGeom>
                    <a:noFill/>
                    <a:ln>
                      <a:noFill/>
                    </a:ln>
                  </pic:spPr>
                </pic:pic>
              </a:graphicData>
            </a:graphic>
          </wp:inline>
        </w:drawing>
      </w:r>
    </w:p>
    <w:p w:rsidR="00DB433A" w:rsidRPr="00DB433A" w:rsidRDefault="00DB433A" w:rsidP="00DB433A">
      <w:pPr>
        <w:pStyle w:val="Sectionintro"/>
        <w:rPr>
          <w:lang w:val="en-NZ"/>
        </w:rPr>
      </w:pPr>
      <w:r w:rsidRPr="00DB433A">
        <w:rPr>
          <w:lang w:val="en-NZ"/>
        </w:rPr>
        <w:t>Approach 1: Unweighted Normalisation</w:t>
      </w:r>
    </w:p>
    <w:p w:rsidR="00DB433A" w:rsidRPr="00DB433A" w:rsidRDefault="00DB433A" w:rsidP="00DB433A">
      <w:pPr>
        <w:rPr>
          <w:lang w:val="en-NZ"/>
        </w:rPr>
      </w:pPr>
      <w:r w:rsidRPr="00DB433A">
        <w:rPr>
          <w:lang w:val="en-NZ"/>
        </w:rPr>
        <w:t>This approach divides the proportion of FTTEs for a given year by the proportion of students in that year, for each school. This approach does not weight the school based on roll size. The diagram below illustrates the formula used for School A, Year 1:</w:t>
      </w:r>
    </w:p>
    <w:p w:rsidR="00DB433A" w:rsidRPr="00DB433A" w:rsidRDefault="00DB433A" w:rsidP="00DB433A">
      <w:pPr>
        <w:rPr>
          <w:lang w:val="en-NZ"/>
        </w:rPr>
      </w:pPr>
      <w:r w:rsidRPr="00DB433A">
        <w:rPr>
          <w:noProof/>
          <w:lang w:val="en-NZ" w:eastAsia="en-NZ"/>
        </w:rPr>
        <w:drawing>
          <wp:inline distT="0" distB="0" distL="0" distR="0">
            <wp:extent cx="4410075" cy="19129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1912927"/>
                    </a:xfrm>
                    <a:prstGeom prst="rect">
                      <a:avLst/>
                    </a:prstGeom>
                    <a:noFill/>
                    <a:ln>
                      <a:noFill/>
                    </a:ln>
                  </pic:spPr>
                </pic:pic>
              </a:graphicData>
            </a:graphic>
          </wp:inline>
        </w:drawing>
      </w:r>
    </w:p>
    <w:p w:rsidR="00DB433A" w:rsidRPr="00DB433A" w:rsidRDefault="00DB433A" w:rsidP="00DB433A">
      <w:pPr>
        <w:rPr>
          <w:lang w:val="en-NZ"/>
        </w:rPr>
      </w:pPr>
      <w:r w:rsidRPr="00DB433A">
        <w:rPr>
          <w:lang w:val="en-NZ"/>
        </w:rPr>
        <w:t xml:space="preserve">This calculation is applied across all years and all schools to calculate normalised figures. The table below shows the application of the </w:t>
      </w:r>
      <w:r>
        <w:rPr>
          <w:lang w:val="en-NZ"/>
        </w:rPr>
        <w:t>normalis</w:t>
      </w:r>
      <w:r w:rsidRPr="00DB433A">
        <w:rPr>
          <w:lang w:val="en-NZ"/>
        </w:rPr>
        <w:t>ation for the example schools (A and B) and the result.</w:t>
      </w:r>
    </w:p>
    <w:p w:rsidR="00DB433A" w:rsidRPr="00DB433A" w:rsidRDefault="00DB433A" w:rsidP="00DB433A">
      <w:pPr>
        <w:rPr>
          <w:lang w:val="en-NZ"/>
        </w:rPr>
      </w:pPr>
      <w:r w:rsidRPr="00DB433A">
        <w:rPr>
          <w:noProof/>
          <w:lang w:val="en-NZ" w:eastAsia="en-NZ"/>
        </w:rPr>
        <w:lastRenderedPageBreak/>
        <w:drawing>
          <wp:inline distT="0" distB="0" distL="0" distR="0">
            <wp:extent cx="4410075" cy="2010324"/>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010324"/>
                    </a:xfrm>
                    <a:prstGeom prst="rect">
                      <a:avLst/>
                    </a:prstGeom>
                    <a:noFill/>
                    <a:ln>
                      <a:noFill/>
                    </a:ln>
                  </pic:spPr>
                </pic:pic>
              </a:graphicData>
            </a:graphic>
          </wp:inline>
        </w:drawing>
      </w:r>
    </w:p>
    <w:p w:rsidR="00DB433A" w:rsidRPr="00DB433A" w:rsidRDefault="00DB433A" w:rsidP="00DB433A">
      <w:pPr>
        <w:rPr>
          <w:lang w:val="en-NZ"/>
        </w:rPr>
      </w:pPr>
      <w:r w:rsidRPr="00DB433A">
        <w:rPr>
          <w:lang w:val="en-NZ"/>
        </w:rPr>
        <w:t xml:space="preserve">In order to aggregate the normalised results, we take a flat average of all survey respondents. </w:t>
      </w:r>
      <w:r>
        <w:rPr>
          <w:lang w:val="en-NZ"/>
        </w:rPr>
        <w:t>Please</w:t>
      </w:r>
      <w:r w:rsidRPr="00DB433A">
        <w:rPr>
          <w:lang w:val="en-NZ"/>
        </w:rPr>
        <w:t xml:space="preserve"> note that the number for “normalised teachers” is not indicative of any ratio of teachers to students.</w:t>
      </w:r>
    </w:p>
    <w:p w:rsidR="00DB433A" w:rsidRPr="00DB433A" w:rsidRDefault="00DB433A" w:rsidP="00DB433A">
      <w:pPr>
        <w:pStyle w:val="Sectionintro"/>
        <w:rPr>
          <w:lang w:val="en-NZ"/>
        </w:rPr>
      </w:pPr>
      <w:r w:rsidRPr="00DB433A">
        <w:rPr>
          <w:lang w:val="en-NZ"/>
        </w:rPr>
        <w:t>Approach 2: Weighted Normalisation</w:t>
      </w:r>
    </w:p>
    <w:p w:rsidR="00DB433A" w:rsidRPr="00DB433A" w:rsidRDefault="00DB433A" w:rsidP="00DB433A">
      <w:pPr>
        <w:rPr>
          <w:lang w:val="en-NZ"/>
        </w:rPr>
      </w:pPr>
      <w:r w:rsidRPr="00DB433A">
        <w:rPr>
          <w:lang w:val="en-NZ"/>
        </w:rPr>
        <w:t>This approach calculate</w:t>
      </w:r>
      <w:r>
        <w:rPr>
          <w:lang w:val="en-NZ"/>
        </w:rPr>
        <w:t>s</w:t>
      </w:r>
      <w:r w:rsidRPr="00DB433A">
        <w:rPr>
          <w:lang w:val="en-NZ"/>
        </w:rPr>
        <w:t xml:space="preserve"> the weighted average teacher allocation proportion across all respondent schools by multiplying each allocation by the proportion of the total roll for a given year. This allows us to calculate an aver</w:t>
      </w:r>
      <w:r>
        <w:rPr>
          <w:lang w:val="en-NZ"/>
        </w:rPr>
        <w:t>a</w:t>
      </w:r>
      <w:r w:rsidRPr="00DB433A">
        <w:rPr>
          <w:lang w:val="en-NZ"/>
        </w:rPr>
        <w:t>ge that is weighted for each schools’ roll size. The diagram below illustrates the formula used for this calculation:</w:t>
      </w:r>
    </w:p>
    <w:p w:rsidR="00DB433A" w:rsidRPr="00DB433A" w:rsidRDefault="00DB433A" w:rsidP="00DB433A">
      <w:pPr>
        <w:rPr>
          <w:lang w:val="en-NZ"/>
        </w:rPr>
      </w:pPr>
      <w:r w:rsidRPr="00DB433A">
        <w:rPr>
          <w:noProof/>
          <w:lang w:val="en-NZ" w:eastAsia="en-NZ"/>
        </w:rPr>
        <w:drawing>
          <wp:inline distT="0" distB="0" distL="0" distR="0">
            <wp:extent cx="4410075" cy="1541104"/>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1541104"/>
                    </a:xfrm>
                    <a:prstGeom prst="rect">
                      <a:avLst/>
                    </a:prstGeom>
                    <a:noFill/>
                    <a:ln>
                      <a:noFill/>
                    </a:ln>
                  </pic:spPr>
                </pic:pic>
              </a:graphicData>
            </a:graphic>
          </wp:inline>
        </w:drawing>
      </w:r>
    </w:p>
    <w:p w:rsidR="00DB433A" w:rsidRPr="00DB433A" w:rsidRDefault="00DB433A" w:rsidP="00DB433A">
      <w:pPr>
        <w:rPr>
          <w:lang w:val="en-NZ"/>
        </w:rPr>
      </w:pPr>
      <w:r w:rsidRPr="00DB433A">
        <w:rPr>
          <w:lang w:val="en-NZ"/>
        </w:rPr>
        <w:t>This calculation is applied across all years and all schools to calculate the weighted average allocation figure. The table on the following page shows</w:t>
      </w:r>
      <w:r>
        <w:rPr>
          <w:lang w:val="en-NZ"/>
        </w:rPr>
        <w:t xml:space="preserve"> the application of the normalis</w:t>
      </w:r>
      <w:r w:rsidRPr="00DB433A">
        <w:rPr>
          <w:lang w:val="en-NZ"/>
        </w:rPr>
        <w:t>ation for the example schools (A and B) and the result.</w:t>
      </w:r>
    </w:p>
    <w:p w:rsidR="00DB433A" w:rsidRPr="00DB433A" w:rsidRDefault="00DB433A" w:rsidP="00DB433A">
      <w:pPr>
        <w:rPr>
          <w:lang w:val="en-NZ"/>
        </w:rPr>
      </w:pPr>
    </w:p>
    <w:p w:rsidR="00DB433A" w:rsidRPr="00DB433A" w:rsidRDefault="00DB433A" w:rsidP="00DB433A">
      <w:pPr>
        <w:spacing w:after="200" w:line="276" w:lineRule="auto"/>
        <w:rPr>
          <w:lang w:val="en-NZ"/>
        </w:rPr>
      </w:pPr>
      <w:r w:rsidRPr="00DB433A">
        <w:rPr>
          <w:noProof/>
          <w:lang w:val="en-NZ" w:eastAsia="en-NZ"/>
        </w:rPr>
        <w:lastRenderedPageBreak/>
        <w:drawing>
          <wp:inline distT="0" distB="0" distL="0" distR="0">
            <wp:extent cx="4410075" cy="238826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388261"/>
                    </a:xfrm>
                    <a:prstGeom prst="rect">
                      <a:avLst/>
                    </a:prstGeom>
                    <a:noFill/>
                    <a:ln>
                      <a:noFill/>
                    </a:ln>
                  </pic:spPr>
                </pic:pic>
              </a:graphicData>
            </a:graphic>
          </wp:inline>
        </w:drawing>
      </w:r>
    </w:p>
    <w:p w:rsidR="00DB433A" w:rsidRDefault="00DB433A" w:rsidP="00DB433A">
      <w:pPr>
        <w:rPr>
          <w:lang w:val="en-NZ"/>
        </w:rPr>
      </w:pPr>
      <w:r w:rsidRPr="00DB433A">
        <w:rPr>
          <w:lang w:val="en-NZ"/>
        </w:rPr>
        <w:t>In contra</w:t>
      </w:r>
      <w:r>
        <w:rPr>
          <w:lang w:val="en-NZ"/>
        </w:rPr>
        <w:t>s</w:t>
      </w:r>
      <w:r w:rsidRPr="00DB433A">
        <w:rPr>
          <w:lang w:val="en-NZ"/>
        </w:rPr>
        <w:t xml:space="preserve">t to approach 1, we take the sum of each weighted average to calculate the overall weighted average of the sample. Note that the weighted average allocation for each individual school is not a meaningful figure on its own and should not be </w:t>
      </w:r>
      <w:r w:rsidR="002D2084" w:rsidRPr="00DB433A">
        <w:rPr>
          <w:lang w:val="en-NZ"/>
        </w:rPr>
        <w:t>interpreted</w:t>
      </w:r>
      <w:r w:rsidRPr="00DB433A">
        <w:rPr>
          <w:lang w:val="en-NZ"/>
        </w:rPr>
        <w:t xml:space="preserve"> as such.</w:t>
      </w:r>
    </w:p>
    <w:p w:rsidR="00D11AA2" w:rsidRDefault="00D11AA2">
      <w:pPr>
        <w:spacing w:after="200" w:line="276" w:lineRule="auto"/>
        <w:rPr>
          <w:sz w:val="60"/>
          <w:lang w:val="en-NZ"/>
        </w:rPr>
      </w:pPr>
      <w:r>
        <w:rPr>
          <w:lang w:val="en-NZ"/>
        </w:rPr>
        <w:br w:type="page"/>
      </w:r>
    </w:p>
    <w:p w:rsidR="00287604" w:rsidRDefault="00287604" w:rsidP="00287604">
      <w:pPr>
        <w:pStyle w:val="Sectiontitle"/>
        <w:rPr>
          <w:lang w:val="en-NZ"/>
        </w:rPr>
      </w:pPr>
      <w:bookmarkStart w:id="11" w:name="_Toc463604453"/>
      <w:r w:rsidRPr="00DB433A">
        <w:rPr>
          <w:lang w:val="en-NZ"/>
        </w:rPr>
        <w:lastRenderedPageBreak/>
        <w:t xml:space="preserve">Appendix </w:t>
      </w:r>
      <w:r>
        <w:rPr>
          <w:lang w:val="en-NZ"/>
        </w:rPr>
        <w:t>B</w:t>
      </w:r>
      <w:r w:rsidRPr="00DB433A">
        <w:rPr>
          <w:lang w:val="en-NZ"/>
        </w:rPr>
        <w:t xml:space="preserve">: </w:t>
      </w:r>
      <w:r>
        <w:rPr>
          <w:lang w:val="en-NZ"/>
        </w:rPr>
        <w:t>Sample Schools</w:t>
      </w:r>
      <w:bookmarkEnd w:id="11"/>
    </w:p>
    <w:p w:rsidR="00287604" w:rsidRPr="001A2372" w:rsidRDefault="00287604" w:rsidP="00287604">
      <w:pPr>
        <w:rPr>
          <w:lang w:val="en-NZ"/>
        </w:rPr>
      </w:pPr>
      <w:r w:rsidRPr="008625B5">
        <w:rPr>
          <w:lang w:val="en-NZ"/>
        </w:rPr>
        <w:t xml:space="preserve">The total </w:t>
      </w:r>
      <w:r w:rsidR="002D2084">
        <w:rPr>
          <w:lang w:val="en-NZ"/>
        </w:rPr>
        <w:t xml:space="preserve">information on </w:t>
      </w:r>
      <w:r w:rsidRPr="008625B5">
        <w:rPr>
          <w:lang w:val="en-NZ"/>
        </w:rPr>
        <w:t xml:space="preserve">schools sampled includes 53 schools that returned completed surveys and 17 school interviews which were conducted either via phone or </w:t>
      </w:r>
      <w:r w:rsidR="008625B5">
        <w:rPr>
          <w:lang w:val="en-NZ"/>
        </w:rPr>
        <w:t>in person</w:t>
      </w:r>
      <w:r w:rsidRPr="008625B5">
        <w:rPr>
          <w:lang w:val="en-NZ"/>
        </w:rPr>
        <w:t>.</w:t>
      </w:r>
      <w:r w:rsidR="00805B1B">
        <w:rPr>
          <w:lang w:val="en-NZ"/>
        </w:rPr>
        <w:t xml:space="preserve"> Four schools only had an interview but no survey results.</w:t>
      </w:r>
    </w:p>
    <w:tbl>
      <w:tblPr>
        <w:tblW w:w="3380" w:type="dxa"/>
        <w:tblLook w:val="04A0"/>
      </w:tblPr>
      <w:tblGrid>
        <w:gridCol w:w="2320"/>
        <w:gridCol w:w="1060"/>
      </w:tblGrid>
      <w:tr w:rsidR="00287604" w:rsidRPr="001A2372" w:rsidTr="00F61380">
        <w:trPr>
          <w:trHeight w:val="225"/>
        </w:trPr>
        <w:tc>
          <w:tcPr>
            <w:tcW w:w="232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School Type</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Count</w:t>
            </w:r>
          </w:p>
        </w:tc>
      </w:tr>
      <w:tr w:rsidR="00287604" w:rsidRPr="001A2372" w:rsidTr="00F61380">
        <w:trPr>
          <w:trHeight w:val="10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Times New Roman" w:eastAsia="Times New Roman" w:hAnsi="Times New Roman" w:cs="Times New Roman"/>
                <w:sz w:val="20"/>
                <w:szCs w:val="20"/>
                <w:lang w:val="en-NZ" w:eastAsia="en-NZ"/>
              </w:rPr>
            </w:pP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Full Primary</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9</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Contributing</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21</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Intermediate</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3</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Secondary (Year 9-15)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14</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Secondary (Year 7-15)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4</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Composite (Year 1-15)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4</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Special School</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2</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Total</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57</w:t>
            </w:r>
          </w:p>
        </w:tc>
      </w:tr>
    </w:tbl>
    <w:p w:rsidR="00287604" w:rsidRDefault="00287604" w:rsidP="00287604">
      <w:pPr>
        <w:spacing w:after="200" w:line="276" w:lineRule="auto"/>
        <w:rPr>
          <w:lang w:val="en-NZ"/>
        </w:rPr>
      </w:pPr>
    </w:p>
    <w:tbl>
      <w:tblPr>
        <w:tblW w:w="7620" w:type="dxa"/>
        <w:tblLook w:val="04A0"/>
      </w:tblPr>
      <w:tblGrid>
        <w:gridCol w:w="2320"/>
        <w:gridCol w:w="1060"/>
        <w:gridCol w:w="1060"/>
        <w:gridCol w:w="1060"/>
        <w:gridCol w:w="1060"/>
        <w:gridCol w:w="1060"/>
      </w:tblGrid>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Sample Schools</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Times New Roman" w:eastAsia="Times New Roman" w:hAnsi="Times New Roman" w:cs="Times New Roman"/>
                <w:sz w:val="20"/>
                <w:szCs w:val="20"/>
                <w:lang w:val="en-NZ" w:eastAsia="en-NZ"/>
              </w:rPr>
            </w:pP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Times New Roman" w:eastAsia="Times New Roman" w:hAnsi="Times New Roman" w:cs="Times New Roman"/>
                <w:sz w:val="20"/>
                <w:szCs w:val="20"/>
                <w:lang w:val="en-NZ" w:eastAsia="en-NZ"/>
              </w:rPr>
            </w:pP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Times New Roman" w:eastAsia="Times New Roman" w:hAnsi="Times New Roman" w:cs="Times New Roman"/>
                <w:sz w:val="20"/>
                <w:szCs w:val="20"/>
                <w:lang w:val="en-NZ" w:eastAsia="en-NZ"/>
              </w:rPr>
            </w:pP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Times New Roman" w:eastAsia="Times New Roman" w:hAnsi="Times New Roman" w:cs="Times New Roman"/>
                <w:sz w:val="20"/>
                <w:szCs w:val="20"/>
                <w:lang w:val="en-NZ" w:eastAsia="en-NZ"/>
              </w:rPr>
            </w:pP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Decile Groups</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1 &amp; 2</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3 &amp; 4</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5 &amp; 6</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7 &amp; 8</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9 &amp; 10</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Full Primary</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5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Contributing</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7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8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Intermediate</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Secondary (Year 9-15)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3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3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4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Secondary (Year 7-15)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3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Composite (Year 1-15)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Special School</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r>
      <w:tr w:rsidR="00287604" w:rsidRPr="001A2372" w:rsidTr="00F61380">
        <w:trPr>
          <w:trHeight w:val="225"/>
        </w:trPr>
        <w:tc>
          <w:tcPr>
            <w:tcW w:w="232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Total</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15 </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5 </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7 </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9 </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21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26%</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9%</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12%</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16%</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37%</w:t>
            </w:r>
          </w:p>
        </w:tc>
      </w:tr>
    </w:tbl>
    <w:p w:rsidR="00287604" w:rsidRDefault="00287604" w:rsidP="00287604">
      <w:pPr>
        <w:spacing w:after="200" w:line="276" w:lineRule="auto"/>
        <w:rPr>
          <w:lang w:val="en-NZ"/>
        </w:rPr>
      </w:pPr>
    </w:p>
    <w:tbl>
      <w:tblPr>
        <w:tblW w:w="7620" w:type="dxa"/>
        <w:tblLook w:val="04A0"/>
      </w:tblPr>
      <w:tblGrid>
        <w:gridCol w:w="2320"/>
        <w:gridCol w:w="1060"/>
        <w:gridCol w:w="1060"/>
        <w:gridCol w:w="1060"/>
        <w:gridCol w:w="1060"/>
        <w:gridCol w:w="1060"/>
      </w:tblGrid>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Sample Schools</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Times New Roman" w:eastAsia="Times New Roman" w:hAnsi="Times New Roman" w:cs="Times New Roman"/>
                <w:sz w:val="20"/>
                <w:szCs w:val="20"/>
                <w:lang w:val="en-NZ" w:eastAsia="en-NZ"/>
              </w:rPr>
            </w:pP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Times New Roman" w:eastAsia="Times New Roman" w:hAnsi="Times New Roman" w:cs="Times New Roman"/>
                <w:sz w:val="20"/>
                <w:szCs w:val="20"/>
                <w:lang w:val="en-NZ" w:eastAsia="en-NZ"/>
              </w:rPr>
            </w:pP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Times New Roman" w:eastAsia="Times New Roman" w:hAnsi="Times New Roman" w:cs="Times New Roman"/>
                <w:sz w:val="20"/>
                <w:szCs w:val="20"/>
                <w:lang w:val="en-NZ" w:eastAsia="en-NZ"/>
              </w:rPr>
            </w:pP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Times New Roman" w:eastAsia="Times New Roman" w:hAnsi="Times New Roman" w:cs="Times New Roman"/>
                <w:sz w:val="20"/>
                <w:szCs w:val="20"/>
                <w:lang w:val="en-NZ" w:eastAsia="en-NZ"/>
              </w:rPr>
            </w:pP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School Size</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&lt; 150</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150 - 400</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400 - 650</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650 - 1000</w:t>
            </w:r>
          </w:p>
        </w:tc>
        <w:tc>
          <w:tcPr>
            <w:tcW w:w="1060" w:type="dxa"/>
            <w:tcBorders>
              <w:top w:val="nil"/>
              <w:left w:val="nil"/>
              <w:bottom w:val="nil"/>
              <w:right w:val="nil"/>
            </w:tcBorders>
            <w:shd w:val="clear" w:color="000000" w:fill="6D9F00"/>
            <w:noWrap/>
            <w:vAlign w:val="bottom"/>
            <w:hideMark/>
          </w:tcPr>
          <w:p w:rsidR="00287604" w:rsidRPr="001A2372" w:rsidRDefault="00287604" w:rsidP="00F61380">
            <w:pPr>
              <w:spacing w:after="0" w:line="240" w:lineRule="auto"/>
              <w:jc w:val="right"/>
              <w:rPr>
                <w:rFonts w:ascii="Verdana" w:eastAsia="Times New Roman" w:hAnsi="Verdana" w:cs="Times New Roman"/>
                <w:b/>
                <w:bCs/>
                <w:color w:val="FFFFFF"/>
                <w:sz w:val="16"/>
                <w:szCs w:val="16"/>
                <w:lang w:val="en-NZ" w:eastAsia="en-NZ"/>
              </w:rPr>
            </w:pPr>
            <w:r w:rsidRPr="001A2372">
              <w:rPr>
                <w:rFonts w:ascii="Verdana" w:eastAsia="Times New Roman" w:hAnsi="Verdana" w:cs="Times New Roman"/>
                <w:b/>
                <w:bCs/>
                <w:color w:val="FFFFFF"/>
                <w:sz w:val="16"/>
                <w:szCs w:val="16"/>
                <w:lang w:val="en-NZ" w:eastAsia="en-NZ"/>
              </w:rPr>
              <w:t>&gt; 1000</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Full Primary</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4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Contributing</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9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7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3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Intermediate</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Secondary (Year 9-15)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3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9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Secondary (Year 7-15)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Composite (Year 1-15)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1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3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Special School</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2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 xml:space="preserve">            -   </w:t>
            </w:r>
          </w:p>
        </w:tc>
      </w:tr>
      <w:tr w:rsidR="00287604" w:rsidRPr="001A2372" w:rsidTr="00F61380">
        <w:trPr>
          <w:trHeight w:val="225"/>
        </w:trPr>
        <w:tc>
          <w:tcPr>
            <w:tcW w:w="232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Total</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7 </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20 </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12 </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7 </w:t>
            </w:r>
          </w:p>
        </w:tc>
        <w:tc>
          <w:tcPr>
            <w:tcW w:w="1060" w:type="dxa"/>
            <w:tcBorders>
              <w:top w:val="single" w:sz="4" w:space="0" w:color="auto"/>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b/>
                <w:bCs/>
                <w:sz w:val="16"/>
                <w:szCs w:val="16"/>
                <w:lang w:val="en-NZ" w:eastAsia="en-NZ"/>
              </w:rPr>
            </w:pPr>
            <w:r w:rsidRPr="001A2372">
              <w:rPr>
                <w:rFonts w:ascii="Verdana" w:eastAsia="Times New Roman" w:hAnsi="Verdana" w:cs="Times New Roman"/>
                <w:b/>
                <w:bCs/>
                <w:sz w:val="16"/>
                <w:szCs w:val="16"/>
                <w:lang w:val="en-NZ" w:eastAsia="en-NZ"/>
              </w:rPr>
              <w:t xml:space="preserve">           11 </w:t>
            </w:r>
          </w:p>
        </w:tc>
      </w:tr>
      <w:tr w:rsidR="00287604" w:rsidRPr="001A2372" w:rsidTr="00F61380">
        <w:trPr>
          <w:trHeight w:val="225"/>
        </w:trPr>
        <w:tc>
          <w:tcPr>
            <w:tcW w:w="232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12%</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35%</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21%</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12%</w:t>
            </w:r>
          </w:p>
        </w:tc>
        <w:tc>
          <w:tcPr>
            <w:tcW w:w="1060" w:type="dxa"/>
            <w:tcBorders>
              <w:top w:val="nil"/>
              <w:left w:val="nil"/>
              <w:bottom w:val="nil"/>
              <w:right w:val="nil"/>
            </w:tcBorders>
            <w:shd w:val="clear" w:color="auto" w:fill="auto"/>
            <w:noWrap/>
            <w:vAlign w:val="bottom"/>
            <w:hideMark/>
          </w:tcPr>
          <w:p w:rsidR="00287604" w:rsidRPr="001A2372" w:rsidRDefault="00287604" w:rsidP="00F61380">
            <w:pPr>
              <w:spacing w:after="0" w:line="240" w:lineRule="auto"/>
              <w:jc w:val="right"/>
              <w:rPr>
                <w:rFonts w:ascii="Verdana" w:eastAsia="Times New Roman" w:hAnsi="Verdana" w:cs="Times New Roman"/>
                <w:sz w:val="16"/>
                <w:szCs w:val="16"/>
                <w:lang w:val="en-NZ" w:eastAsia="en-NZ"/>
              </w:rPr>
            </w:pPr>
            <w:r w:rsidRPr="001A2372">
              <w:rPr>
                <w:rFonts w:ascii="Verdana" w:eastAsia="Times New Roman" w:hAnsi="Verdana" w:cs="Times New Roman"/>
                <w:sz w:val="16"/>
                <w:szCs w:val="16"/>
                <w:lang w:val="en-NZ" w:eastAsia="en-NZ"/>
              </w:rPr>
              <w:t>19%</w:t>
            </w:r>
          </w:p>
        </w:tc>
      </w:tr>
    </w:tbl>
    <w:p w:rsidR="00287604" w:rsidRDefault="00287604" w:rsidP="00287604">
      <w:pPr>
        <w:spacing w:after="200" w:line="276" w:lineRule="auto"/>
        <w:rPr>
          <w:lang w:val="en-NZ"/>
        </w:rPr>
      </w:pPr>
    </w:p>
    <w:p w:rsidR="00287604" w:rsidRPr="00836644" w:rsidRDefault="00287604" w:rsidP="00287604">
      <w:pPr>
        <w:rPr>
          <w:lang w:val="en-NZ"/>
        </w:rPr>
      </w:pPr>
      <w:r w:rsidRPr="008625B5">
        <w:rPr>
          <w:lang w:val="en-NZ"/>
        </w:rPr>
        <w:t>Three schools within our sample</w:t>
      </w:r>
      <w:r w:rsidR="00805B1B">
        <w:rPr>
          <w:lang w:val="en-NZ"/>
        </w:rPr>
        <w:t xml:space="preserve"> (</w:t>
      </w:r>
      <w:r w:rsidRPr="008625B5">
        <w:rPr>
          <w:lang w:val="en-NZ"/>
        </w:rPr>
        <w:t>both surveyed schools and those that participated in interviews</w:t>
      </w:r>
      <w:r w:rsidR="00805B1B">
        <w:rPr>
          <w:lang w:val="en-NZ"/>
        </w:rPr>
        <w:t xml:space="preserve">) </w:t>
      </w:r>
      <w:r w:rsidRPr="008625B5">
        <w:rPr>
          <w:lang w:val="en-NZ"/>
        </w:rPr>
        <w:t>are Māori Medium Education Schools or schools with some students in mixed Māori language in education.</w:t>
      </w:r>
    </w:p>
    <w:p w:rsidR="00287604" w:rsidRPr="00DB433A" w:rsidRDefault="00287604" w:rsidP="00287604">
      <w:pPr>
        <w:spacing w:after="200" w:line="276" w:lineRule="auto"/>
        <w:rPr>
          <w:lang w:val="en-NZ"/>
        </w:rPr>
      </w:pPr>
      <w:r w:rsidRPr="00DB433A">
        <w:rPr>
          <w:lang w:val="en-NZ"/>
        </w:rPr>
        <w:br w:type="page"/>
      </w:r>
    </w:p>
    <w:p w:rsidR="00BF6F8B" w:rsidRPr="00DB433A" w:rsidRDefault="00BF6F8B">
      <w:pPr>
        <w:spacing w:after="200" w:line="276" w:lineRule="auto"/>
        <w:rPr>
          <w:lang w:val="en-NZ"/>
        </w:rPr>
      </w:pPr>
    </w:p>
    <w:p w:rsidR="00D01239" w:rsidRPr="00DB433A" w:rsidRDefault="00B815EF" w:rsidP="009B139F">
      <w:pPr>
        <w:rPr>
          <w:lang w:val="en-NZ"/>
        </w:rPr>
      </w:pPr>
      <w:r>
        <w:rPr>
          <w:noProof/>
          <w:lang w:val="en-NZ" w:eastAsia="en-NZ"/>
        </w:rPr>
        <w:pict>
          <v:rect id="Rectangle 2" o:spid="_x0000_s1026" style="position:absolute;margin-left:0;margin-top:0;width:598.1pt;height:844.7pt;z-index:-251652096;visibility:visible;mso-position-horizontal-relative:page;mso-position-vertical-relative:pag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" fillcolor="white [3212]" stroked="f" strokeweight="2pt">
            <v:textbox inset="12mm,12mm,12mm,12mm">
              <w:txbxContent>
                <w:p w:rsidR="007778BB" w:rsidRDefault="007778BB" w:rsidP="00BF6F8B">
                  <w:pPr>
                    <w:pStyle w:val="Legaltext"/>
                    <w:rPr>
                      <w:color w:val="000000" w:themeColor="text1"/>
                    </w:rPr>
                  </w:pPr>
                  <w:r>
                    <w:rPr>
                      <w:noProof/>
                      <w:lang w:val="en-NZ" w:eastAsia="en-NZ"/>
                    </w:rPr>
                    <w:drawing>
                      <wp:inline distT="0" distB="0" distL="0" distR="0">
                        <wp:extent cx="1831975" cy="34544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1975" cy="345440"/>
                                </a:xfrm>
                                <a:prstGeom prst="rect">
                                  <a:avLst/>
                                </a:prstGeom>
                              </pic:spPr>
                            </pic:pic>
                          </a:graphicData>
                        </a:graphic>
                      </wp:inline>
                    </w:drawing>
                  </w:r>
                </w:p>
                <w:p w:rsidR="007778BB" w:rsidRDefault="007778BB" w:rsidP="00BF6F8B">
                  <w:pPr>
                    <w:pStyle w:val="Legaltext"/>
                    <w:rPr>
                      <w:color w:val="000000" w:themeColor="text1"/>
                    </w:rPr>
                  </w:pPr>
                </w:p>
                <w:p w:rsidR="007778BB" w:rsidRDefault="007778BB" w:rsidP="00BF6F8B">
                  <w:pPr>
                    <w:pStyle w:val="Legaltext"/>
                    <w:rPr>
                      <w:color w:val="000000" w:themeColor="text1"/>
                    </w:rPr>
                  </w:pPr>
                </w:p>
                <w:p w:rsidR="007778BB" w:rsidRDefault="007778BB" w:rsidP="00BF6F8B">
                  <w:pPr>
                    <w:pStyle w:val="Legaltext"/>
                    <w:rPr>
                      <w:color w:val="000000" w:themeColor="text1"/>
                    </w:rPr>
                  </w:pPr>
                </w:p>
                <w:p w:rsidR="007778BB" w:rsidRDefault="007778BB" w:rsidP="008B6F43">
                  <w:pPr>
                    <w:pStyle w:val="Legaltext"/>
                    <w:rPr>
                      <w:color w:val="000000" w:themeColor="text1"/>
                      <w:lang w:val="en-NZ"/>
                    </w:rPr>
                  </w:pPr>
                  <w:r w:rsidRPr="008B6F43">
                    <w:rPr>
                      <w:color w:val="000000" w:themeColor="text1"/>
                      <w:lang w:val="en-NZ"/>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Please see www.deloitte.com/about for a more detailed description of DTTL and its member firms. </w:t>
                  </w:r>
                </w:p>
                <w:p w:rsidR="007778BB" w:rsidRPr="008B6F43" w:rsidRDefault="007778BB" w:rsidP="008B6F43">
                  <w:pPr>
                    <w:pStyle w:val="Legaltext"/>
                    <w:rPr>
                      <w:color w:val="000000" w:themeColor="text1"/>
                      <w:lang w:val="en-NZ"/>
                    </w:rPr>
                  </w:pPr>
                </w:p>
                <w:p w:rsidR="007778BB" w:rsidRDefault="007778BB" w:rsidP="008B6F43">
                  <w:pPr>
                    <w:pStyle w:val="Legaltext"/>
                    <w:rPr>
                      <w:color w:val="000000" w:themeColor="text1"/>
                      <w:lang w:val="en-NZ"/>
                    </w:rPr>
                  </w:pPr>
                  <w:r w:rsidRPr="008B6F43">
                    <w:rPr>
                      <w:color w:val="000000" w:themeColor="text1"/>
                      <w:lang w:val="en-NZ"/>
                    </w:rPr>
                    <w:t>Deloitte provides audit, consulting, financial advisory, risk management, tax and related services to public and private clients spanning multiple industries. Deloitte serves four out of five Fortune Global 500</w:t>
                  </w:r>
                  <w:r w:rsidRPr="008B6F43">
                    <w:rPr>
                      <w:color w:val="000000" w:themeColor="text1"/>
                      <w:vertAlign w:val="superscript"/>
                      <w:lang w:val="en-NZ"/>
                    </w:rPr>
                    <w:t>®</w:t>
                  </w:r>
                  <w:r w:rsidRPr="008B6F43">
                    <w:rPr>
                      <w:color w:val="000000" w:themeColor="text1"/>
                      <w:lang w:val="en-NZ"/>
                    </w:rPr>
                    <w:t xml:space="preserve"> companies through a globally connected network of member firms in more than 150 countries bringing world-class capabilities, insights, and high-quality service to address clients’ most complex business challenges. To learn more about how Deloitte’s approximately 225,000 professionals make an impact that matters, please connect with us on Facebook, LinkedIn, or Twitter.</w:t>
                  </w:r>
                </w:p>
                <w:p w:rsidR="007778BB" w:rsidRPr="008B6F43" w:rsidRDefault="007778BB" w:rsidP="008B6F43">
                  <w:pPr>
                    <w:pStyle w:val="Legaltext"/>
                    <w:rPr>
                      <w:color w:val="000000" w:themeColor="text1"/>
                      <w:lang w:val="en-NZ"/>
                    </w:rPr>
                  </w:pPr>
                </w:p>
                <w:p w:rsidR="007778BB" w:rsidRDefault="007778BB" w:rsidP="008B6F43">
                  <w:pPr>
                    <w:pStyle w:val="Legaltext"/>
                    <w:rPr>
                      <w:color w:val="000000" w:themeColor="text1"/>
                      <w:lang w:val="en-NZ"/>
                    </w:rPr>
                  </w:pPr>
                  <w:r w:rsidRPr="008B6F43">
                    <w:rPr>
                      <w:color w:val="000000" w:themeColor="text1"/>
                      <w:lang w:val="en-NZ"/>
                    </w:rPr>
                    <w:t>Deloitte New Zealand brings together more than 1000 specialist professionals providing audit, tax, technology and systems, strategy and performance improvement, risk management, corporate finance, business recovery, forensic and accounting services. Our people are based in Auckland, Hamilton, Rotorua, Wellington, Christchurch and Dunedin, serving clients that range from New Zealand’s largest companies and public sector organisations to smaller businesses with ambition to grow. For more information about Deloitte in New Zealand, look to our website www.deloitte.co.nz.</w:t>
                  </w:r>
                </w:p>
                <w:p w:rsidR="007778BB" w:rsidRPr="008B6F43" w:rsidRDefault="007778BB" w:rsidP="008B6F43">
                  <w:pPr>
                    <w:pStyle w:val="Legaltext"/>
                    <w:rPr>
                      <w:color w:val="000000" w:themeColor="text1"/>
                      <w:lang w:val="en-NZ"/>
                    </w:rPr>
                  </w:pPr>
                </w:p>
                <w:p w:rsidR="007778BB" w:rsidRDefault="007778BB" w:rsidP="008B6F43">
                  <w:pPr>
                    <w:pStyle w:val="Legaltext"/>
                    <w:rPr>
                      <w:color w:val="000000" w:themeColor="text1"/>
                      <w:lang w:val="en-NZ"/>
                    </w:rPr>
                  </w:pPr>
                  <w:r w:rsidRPr="008B6F43">
                    <w:rPr>
                      <w:color w:val="000000" w:themeColor="text1"/>
                      <w:lang w:val="en-NZ"/>
                    </w:rPr>
                    <w:t>This communication contains general information only, and none of Deloitte Touche Tohmatsu Limited, its member firms, or their related entities (collectively, the “Deloitte Network”) is, by means of this communication, rendering professional advice or services. Before making any decision or taking any action that may affect your finances or your business, you should consult a qualified professional adviser. No entity in the Deloitte Network shall be responsible for any loss whatsoever sustained by any person who relies on this communication.</w:t>
                  </w:r>
                </w:p>
                <w:p w:rsidR="007778BB" w:rsidRPr="008B6F43" w:rsidRDefault="007778BB" w:rsidP="008B6F43">
                  <w:pPr>
                    <w:pStyle w:val="Legaltext"/>
                    <w:rPr>
                      <w:color w:val="000000" w:themeColor="text1"/>
                      <w:lang w:val="en-NZ"/>
                    </w:rPr>
                  </w:pPr>
                </w:p>
                <w:p w:rsidR="007778BB" w:rsidRPr="008B6F43" w:rsidRDefault="007778BB" w:rsidP="008B6F43">
                  <w:pPr>
                    <w:pStyle w:val="Legaltext"/>
                    <w:rPr>
                      <w:color w:val="000000" w:themeColor="text1"/>
                      <w:lang w:val="en-NZ"/>
                    </w:rPr>
                  </w:pPr>
                  <w:r w:rsidRPr="008B6F43">
                    <w:rPr>
                      <w:color w:val="000000" w:themeColor="text1"/>
                      <w:lang w:val="en-NZ"/>
                    </w:rPr>
                    <w:t>© 2016. For information, contact Deloitte Touche Tohmatsu Limited.</w:t>
                  </w:r>
                </w:p>
                <w:p w:rsidR="007778BB" w:rsidRPr="00BF6F8B" w:rsidRDefault="007778BB" w:rsidP="008B6F43">
                  <w:pPr>
                    <w:pStyle w:val="Legaltext"/>
                    <w:rPr>
                      <w:color w:val="000000" w:themeColor="text1"/>
                    </w:rPr>
                  </w:pPr>
                </w:p>
              </w:txbxContent>
            </v:textbox>
            <w10:wrap anchorx="page" anchory="page"/>
            <w10:anchorlock/>
          </v:rect>
        </w:pict>
      </w:r>
    </w:p>
    <w:p w:rsidR="00BF6F8B" w:rsidRPr="00DB433A" w:rsidRDefault="00BF6F8B" w:rsidP="009B139F">
      <w:pPr>
        <w:rPr>
          <w:lang w:val="en-NZ"/>
        </w:rPr>
      </w:pPr>
    </w:p>
    <w:sectPr w:rsidR="00BF6F8B" w:rsidRPr="00DB433A" w:rsidSect="003C4BE4">
      <w:pgSz w:w="11906" w:h="16838" w:code="9"/>
      <w:pgMar w:top="1985" w:right="4281" w:bottom="1134" w:left="680" w:header="680" w:footer="567" w:gutter="0"/>
      <w:cols w:space="284"/>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B893F6" w15:done="0"/>
  <w15:commentEx w15:paraId="57110674" w15:done="0"/>
  <w15:commentEx w15:paraId="433171EC" w15:done="0"/>
  <w15:commentEx w15:paraId="19E11A76" w15:done="0"/>
  <w15:commentEx w15:paraId="6BC0E221" w15:done="0"/>
  <w15:commentEx w15:paraId="35445A00" w15:done="0"/>
  <w15:commentEx w15:paraId="1A3D865F" w15:done="0"/>
  <w15:commentEx w15:paraId="4558B238" w15:done="0"/>
  <w15:commentEx w15:paraId="6410A378" w15:done="0"/>
  <w15:commentEx w15:paraId="1C7E5AF4" w15:done="0"/>
  <w15:commentEx w15:paraId="367404CE" w15:done="0"/>
  <w15:commentEx w15:paraId="44241071" w15:done="0"/>
  <w15:commentEx w15:paraId="3758C689" w15:paraIdParent="44241071" w15:done="0"/>
  <w15:commentEx w15:paraId="41035C86" w15:done="0"/>
  <w15:commentEx w15:paraId="390163E3" w15:done="0"/>
  <w15:commentEx w15:paraId="0561C1D4" w15:done="0"/>
  <w15:commentEx w15:paraId="36978F99" w15:done="0"/>
  <w15:commentEx w15:paraId="6F6CC489" w15:done="0"/>
  <w15:commentEx w15:paraId="3ABCA173" w15:done="0"/>
  <w15:commentEx w15:paraId="718A7EFC" w15:done="0"/>
  <w15:commentEx w15:paraId="69366AF4" w15:done="0"/>
  <w15:commentEx w15:paraId="6DC3FAB4" w15:done="0"/>
  <w15:commentEx w15:paraId="6164CB23" w15:done="0"/>
  <w15:commentEx w15:paraId="267F0EF1" w15:done="0"/>
  <w15:commentEx w15:paraId="0EC3680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064" w:rsidRDefault="003D4064" w:rsidP="00C702C7">
      <w:pPr>
        <w:spacing w:after="0" w:line="240" w:lineRule="auto"/>
      </w:pPr>
      <w:r>
        <w:separator/>
      </w:r>
    </w:p>
  </w:endnote>
  <w:endnote w:type="continuationSeparator" w:id="0">
    <w:p w:rsidR="003D4064" w:rsidRDefault="003D4064" w:rsidP="00C702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646" w:rsidRDefault="00CD26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6358" w:type="dxa"/>
      <w:tblLayout w:type="fixed"/>
      <w:tblLook w:val="04A0"/>
    </w:tblPr>
    <w:tblGrid>
      <w:gridCol w:w="5812"/>
      <w:gridCol w:w="5812"/>
      <w:gridCol w:w="4734"/>
    </w:tblGrid>
    <w:tr w:rsidR="007778BB" w:rsidTr="00F61380">
      <w:trPr>
        <w:cnfStyle w:val="100000000000"/>
      </w:trPr>
      <w:tc>
        <w:tcPr>
          <w:tcW w:w="5812" w:type="dxa"/>
          <w:vAlign w:val="bottom"/>
        </w:tcPr>
        <w:p w:rsidR="007778BB" w:rsidRDefault="00B815EF" w:rsidP="00BC0047">
          <w:pPr>
            <w:pStyle w:val="Footer"/>
          </w:pPr>
          <w:r>
            <w:fldChar w:fldCharType="begin"/>
          </w:r>
          <w:r w:rsidR="007778BB">
            <w:instrText xml:space="preserve"> PAGE   \* MERGEFORMAT </w:instrText>
          </w:r>
          <w:r>
            <w:fldChar w:fldCharType="separate"/>
          </w:r>
          <w:r w:rsidR="00D40970">
            <w:rPr>
              <w:noProof/>
            </w:rPr>
            <w:t>58</w:t>
          </w:r>
          <w:r>
            <w:rPr>
              <w:noProof/>
            </w:rPr>
            <w:fldChar w:fldCharType="end"/>
          </w:r>
        </w:p>
      </w:tc>
      <w:tc>
        <w:tcPr>
          <w:tcW w:w="5812" w:type="dxa"/>
          <w:vAlign w:val="bottom"/>
        </w:tcPr>
        <w:p w:rsidR="007778BB" w:rsidRDefault="007778BB" w:rsidP="00BC0047">
          <w:pPr>
            <w:pStyle w:val="Footer"/>
          </w:pPr>
        </w:p>
      </w:tc>
      <w:tc>
        <w:tcPr>
          <w:tcW w:w="4734" w:type="dxa"/>
          <w:vAlign w:val="bottom"/>
        </w:tcPr>
        <w:p w:rsidR="007778BB" w:rsidRPr="00904097" w:rsidRDefault="007778BB" w:rsidP="00807054">
          <w:pPr>
            <w:pStyle w:val="Footer"/>
            <w:spacing w:line="180" w:lineRule="atLeast"/>
            <w:rPr>
              <w:sz w:val="14"/>
              <w:szCs w:val="14"/>
            </w:rPr>
          </w:pPr>
        </w:p>
      </w:tc>
    </w:tr>
  </w:tbl>
  <w:p w:rsidR="007778BB" w:rsidRPr="00904097" w:rsidRDefault="007778BB" w:rsidP="00904097">
    <w:pPr>
      <w:pStyle w:val="Footer"/>
      <w:spacing w:line="240" w:lineRule="auto"/>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8BB" w:rsidRDefault="00B815EF">
    <w:pPr>
      <w:pStyle w:val="Footer"/>
    </w:pPr>
    <w:r>
      <w:fldChar w:fldCharType="begin"/>
    </w:r>
    <w:r w:rsidR="007778BB">
      <w:instrText xml:space="preserve"> PAGE   \* MERGEFORMAT </w:instrText>
    </w:r>
    <w:r>
      <w:fldChar w:fldCharType="separate"/>
    </w:r>
    <w:r w:rsidR="00D40970">
      <w:rPr>
        <w:noProof/>
      </w:rPr>
      <w:t>0</w:t>
    </w:r>
    <w:r>
      <w:rPr>
        <w:noProof/>
      </w:rPr>
      <w:fldChar w:fldCharType="end"/>
    </w:r>
  </w:p>
  <w:p w:rsidR="007778BB" w:rsidRPr="00904097" w:rsidRDefault="007778BB" w:rsidP="00904097">
    <w:pPr>
      <w:pStyle w:val="Footer"/>
      <w:spacing w:line="240" w:lineRule="auto"/>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064" w:rsidRDefault="003D4064" w:rsidP="00C702C7">
      <w:pPr>
        <w:spacing w:after="0" w:line="240" w:lineRule="auto"/>
      </w:pPr>
      <w:r>
        <w:separator/>
      </w:r>
    </w:p>
  </w:footnote>
  <w:footnote w:type="continuationSeparator" w:id="0">
    <w:p w:rsidR="003D4064" w:rsidRDefault="003D4064" w:rsidP="00C702C7">
      <w:pPr>
        <w:spacing w:after="0" w:line="240" w:lineRule="auto"/>
      </w:pPr>
      <w:r>
        <w:continuationSeparator/>
      </w:r>
    </w:p>
  </w:footnote>
  <w:footnote w:id="1">
    <w:p w:rsidR="00DA5B07" w:rsidRPr="00DA5B07" w:rsidRDefault="00DA5B07">
      <w:pPr>
        <w:pStyle w:val="FootnoteText"/>
        <w:rPr>
          <w:lang w:val="en-NZ"/>
        </w:rPr>
      </w:pPr>
      <w:r>
        <w:rPr>
          <w:rStyle w:val="FootnoteReference"/>
        </w:rPr>
        <w:footnoteRef/>
      </w:r>
      <w:r>
        <w:t xml:space="preserve"> </w:t>
      </w:r>
      <w:r>
        <w:rPr>
          <w:lang w:val="en-NZ"/>
        </w:rPr>
        <w:t>Refer page 16 regarding the composition of net locally raised funds</w:t>
      </w:r>
    </w:p>
  </w:footnote>
  <w:footnote w:id="2">
    <w:p w:rsidR="007778BB" w:rsidRPr="0073711D" w:rsidRDefault="007778BB">
      <w:pPr>
        <w:pStyle w:val="FootnoteText"/>
        <w:rPr>
          <w:lang w:val="en-NZ"/>
        </w:rPr>
      </w:pPr>
      <w:r>
        <w:rPr>
          <w:rStyle w:val="FootnoteReference"/>
        </w:rPr>
        <w:footnoteRef/>
      </w:r>
      <w:r>
        <w:t xml:space="preserve"> </w:t>
      </w:r>
      <w:r>
        <w:rPr>
          <w:lang w:val="en-NZ"/>
        </w:rPr>
        <w:t>Refer pages 24 and 27 for more detail</w:t>
      </w:r>
    </w:p>
  </w:footnote>
  <w:footnote w:id="3">
    <w:p w:rsidR="007778BB" w:rsidRPr="00ED5CDE" w:rsidRDefault="007778BB">
      <w:pPr>
        <w:pStyle w:val="FootnoteText"/>
        <w:rPr>
          <w:lang w:val="en-NZ"/>
        </w:rPr>
      </w:pPr>
      <w:r>
        <w:rPr>
          <w:rStyle w:val="FootnoteReference"/>
        </w:rPr>
        <w:footnoteRef/>
      </w:r>
      <w:r>
        <w:t xml:space="preserve"> </w:t>
      </w:r>
      <w:r>
        <w:rPr>
          <w:lang w:val="en-NZ"/>
        </w:rPr>
        <w:t>Excludes Principals</w:t>
      </w:r>
    </w:p>
  </w:footnote>
  <w:footnote w:id="4">
    <w:p w:rsidR="007778BB" w:rsidRPr="00743D92" w:rsidRDefault="007778BB" w:rsidP="000D3A31">
      <w:pPr>
        <w:pStyle w:val="FootnoteText"/>
        <w:rPr>
          <w:lang w:val="en-NZ"/>
        </w:rPr>
      </w:pPr>
      <w:r>
        <w:rPr>
          <w:rStyle w:val="FootnoteReference"/>
        </w:rPr>
        <w:footnoteRef/>
      </w:r>
      <w:r>
        <w:t xml:space="preserve"> </w:t>
      </w:r>
      <w:r>
        <w:rPr>
          <w:lang w:val="en-NZ"/>
        </w:rPr>
        <w:t>This analysis excludes Special Schools</w:t>
      </w:r>
      <w:r w:rsidR="00C84D0C">
        <w:rPr>
          <w:lang w:val="en-NZ"/>
        </w:rPr>
        <w:t xml:space="preserve"> and the Correspondence School</w:t>
      </w:r>
    </w:p>
  </w:footnote>
  <w:footnote w:id="5">
    <w:p w:rsidR="007778BB" w:rsidRPr="00743D92" w:rsidRDefault="007778BB" w:rsidP="000D3A31">
      <w:pPr>
        <w:pStyle w:val="FootnoteText"/>
        <w:rPr>
          <w:lang w:val="en-NZ"/>
        </w:rPr>
      </w:pPr>
      <w:r>
        <w:rPr>
          <w:rStyle w:val="FootnoteReference"/>
        </w:rPr>
        <w:footnoteRef/>
      </w:r>
      <w:r>
        <w:t xml:space="preserve"> </w:t>
      </w:r>
      <w:r>
        <w:rPr>
          <w:lang w:val="en-NZ"/>
        </w:rPr>
        <w:t>This analysis excludes Special Schools</w:t>
      </w:r>
      <w:r w:rsidR="00C84D0C">
        <w:rPr>
          <w:lang w:val="en-NZ"/>
        </w:rPr>
        <w:t xml:space="preserve"> and the Correspondence School</w:t>
      </w:r>
    </w:p>
  </w:footnote>
  <w:footnote w:id="6">
    <w:p w:rsidR="007778BB" w:rsidRPr="00F60CC0" w:rsidRDefault="007778BB">
      <w:pPr>
        <w:pStyle w:val="FootnoteText"/>
        <w:rPr>
          <w:lang w:val="en-NZ"/>
        </w:rPr>
      </w:pPr>
      <w:r>
        <w:rPr>
          <w:rStyle w:val="FootnoteReference"/>
        </w:rPr>
        <w:footnoteRef/>
      </w:r>
      <w:r>
        <w:t xml:space="preserve"> </w:t>
      </w:r>
      <w:r>
        <w:rPr>
          <w:lang w:val="en-NZ"/>
        </w:rPr>
        <w:t>Refers to teachers employed using operational grant funding and other cash funding</w:t>
      </w:r>
    </w:p>
  </w:footnote>
  <w:footnote w:id="7">
    <w:p w:rsidR="007778BB" w:rsidRPr="00ED5CDE" w:rsidRDefault="007778BB" w:rsidP="008969FF">
      <w:pPr>
        <w:pStyle w:val="FootnoteText"/>
        <w:rPr>
          <w:lang w:val="en-NZ"/>
        </w:rPr>
      </w:pPr>
      <w:r>
        <w:rPr>
          <w:rStyle w:val="FootnoteReference"/>
        </w:rPr>
        <w:footnoteRef/>
      </w:r>
      <w:r>
        <w:t xml:space="preserve"> </w:t>
      </w:r>
      <w:r>
        <w:rPr>
          <w:lang w:val="en-NZ"/>
        </w:rPr>
        <w:t>Excludes Principals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646" w:rsidRDefault="00CD26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8BB" w:rsidRPr="00D36E73" w:rsidRDefault="00B815EF">
    <w:pPr>
      <w:pStyle w:val="Header"/>
      <w:rPr>
        <w:b w:val="0"/>
      </w:rPr>
    </w:pPr>
    <w:fldSimple w:instr=" STYLEREF  &quot;Document title&quot;  \* MERGEFORMAT ">
      <w:r w:rsidR="00D40970" w:rsidRPr="00D40970">
        <w:rPr>
          <w:bCs/>
          <w:noProof/>
        </w:rPr>
        <w:t>School Expenditure</w:t>
      </w:r>
      <w:r w:rsidR="00D40970">
        <w:rPr>
          <w:noProof/>
        </w:rPr>
        <w:t xml:space="preserve"> and Revenue</w:t>
      </w:r>
    </w:fldSimple>
    <w:r w:rsidR="007778BB" w:rsidRPr="00D36E73">
      <w:rPr>
        <w:b w:val="0"/>
      </w:rPr>
      <w:t xml:space="preserve"> | </w:t>
    </w:r>
    <w:fldSimple w:instr=" STYLEREF  &quot;Section title&quot;  \* MERGEFORMAT ">
      <w:r w:rsidR="00D40970" w:rsidRPr="00D40970">
        <w:rPr>
          <w:b w:val="0"/>
          <w:noProof/>
        </w:rPr>
        <w:t>Appendix</w:t>
      </w:r>
      <w:r w:rsidR="00D40970">
        <w:rPr>
          <w:noProof/>
        </w:rPr>
        <w:t xml:space="preserve"> B: Sample Schools</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646" w:rsidRDefault="00CD26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1DA8222E"/>
    <w:lvl w:ilvl="0">
      <w:start w:val="1"/>
      <w:numFmt w:val="lowerLetter"/>
      <w:pStyle w:val="ListNumber2"/>
      <w:lvlText w:val="%1."/>
      <w:lvlJc w:val="left"/>
      <w:pPr>
        <w:ind w:left="644" w:hanging="360"/>
      </w:pPr>
    </w:lvl>
  </w:abstractNum>
  <w:abstractNum w:abstractNumId="1">
    <w:nsid w:val="FFFFFF83"/>
    <w:multiLevelType w:val="singleLevel"/>
    <w:tmpl w:val="8EAA911C"/>
    <w:lvl w:ilvl="0">
      <w:start w:val="1"/>
      <w:numFmt w:val="bullet"/>
      <w:pStyle w:val="ListBullet2"/>
      <w:lvlText w:val="‒"/>
      <w:lvlJc w:val="left"/>
      <w:pPr>
        <w:ind w:left="587" w:hanging="360"/>
      </w:pPr>
      <w:rPr>
        <w:rFonts w:ascii="Calibri" w:hAnsi="Calibri" w:hint="default"/>
      </w:rPr>
    </w:lvl>
  </w:abstractNum>
  <w:abstractNum w:abstractNumId="2">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nsid w:val="FFFFFF89"/>
    <w:multiLevelType w:val="singleLevel"/>
    <w:tmpl w:val="2A4026B0"/>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13459AB"/>
    <w:multiLevelType w:val="hybridMultilevel"/>
    <w:tmpl w:val="6574A6A2"/>
    <w:lvl w:ilvl="0" w:tplc="D0CA4B2A">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31320A5"/>
    <w:multiLevelType w:val="hybridMultilevel"/>
    <w:tmpl w:val="A776E420"/>
    <w:lvl w:ilvl="0" w:tplc="B09CEBE8">
      <w:start w:val="2"/>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58C0426"/>
    <w:multiLevelType w:val="hybridMultilevel"/>
    <w:tmpl w:val="C39EF846"/>
    <w:lvl w:ilvl="0" w:tplc="14090001">
      <w:start w:val="1"/>
      <w:numFmt w:val="bullet"/>
      <w:lvlText w:val=""/>
      <w:lvlJc w:val="left"/>
      <w:pPr>
        <w:ind w:left="788" w:hanging="360"/>
      </w:pPr>
      <w:rPr>
        <w:rFonts w:ascii="Symbol" w:hAnsi="Symbol" w:hint="default"/>
      </w:rPr>
    </w:lvl>
    <w:lvl w:ilvl="1" w:tplc="14090003" w:tentative="1">
      <w:start w:val="1"/>
      <w:numFmt w:val="bullet"/>
      <w:lvlText w:val="o"/>
      <w:lvlJc w:val="left"/>
      <w:pPr>
        <w:ind w:left="1508" w:hanging="360"/>
      </w:pPr>
      <w:rPr>
        <w:rFonts w:ascii="Courier New" w:hAnsi="Courier New" w:cs="Courier New" w:hint="default"/>
      </w:rPr>
    </w:lvl>
    <w:lvl w:ilvl="2" w:tplc="14090005" w:tentative="1">
      <w:start w:val="1"/>
      <w:numFmt w:val="bullet"/>
      <w:lvlText w:val=""/>
      <w:lvlJc w:val="left"/>
      <w:pPr>
        <w:ind w:left="2228" w:hanging="360"/>
      </w:pPr>
      <w:rPr>
        <w:rFonts w:ascii="Wingdings" w:hAnsi="Wingdings" w:hint="default"/>
      </w:rPr>
    </w:lvl>
    <w:lvl w:ilvl="3" w:tplc="14090001" w:tentative="1">
      <w:start w:val="1"/>
      <w:numFmt w:val="bullet"/>
      <w:lvlText w:val=""/>
      <w:lvlJc w:val="left"/>
      <w:pPr>
        <w:ind w:left="2948" w:hanging="360"/>
      </w:pPr>
      <w:rPr>
        <w:rFonts w:ascii="Symbol" w:hAnsi="Symbol" w:hint="default"/>
      </w:rPr>
    </w:lvl>
    <w:lvl w:ilvl="4" w:tplc="14090003" w:tentative="1">
      <w:start w:val="1"/>
      <w:numFmt w:val="bullet"/>
      <w:lvlText w:val="o"/>
      <w:lvlJc w:val="left"/>
      <w:pPr>
        <w:ind w:left="3668" w:hanging="360"/>
      </w:pPr>
      <w:rPr>
        <w:rFonts w:ascii="Courier New" w:hAnsi="Courier New" w:cs="Courier New" w:hint="default"/>
      </w:rPr>
    </w:lvl>
    <w:lvl w:ilvl="5" w:tplc="14090005" w:tentative="1">
      <w:start w:val="1"/>
      <w:numFmt w:val="bullet"/>
      <w:lvlText w:val=""/>
      <w:lvlJc w:val="left"/>
      <w:pPr>
        <w:ind w:left="4388" w:hanging="360"/>
      </w:pPr>
      <w:rPr>
        <w:rFonts w:ascii="Wingdings" w:hAnsi="Wingdings" w:hint="default"/>
      </w:rPr>
    </w:lvl>
    <w:lvl w:ilvl="6" w:tplc="14090001" w:tentative="1">
      <w:start w:val="1"/>
      <w:numFmt w:val="bullet"/>
      <w:lvlText w:val=""/>
      <w:lvlJc w:val="left"/>
      <w:pPr>
        <w:ind w:left="5108" w:hanging="360"/>
      </w:pPr>
      <w:rPr>
        <w:rFonts w:ascii="Symbol" w:hAnsi="Symbol" w:hint="default"/>
      </w:rPr>
    </w:lvl>
    <w:lvl w:ilvl="7" w:tplc="14090003" w:tentative="1">
      <w:start w:val="1"/>
      <w:numFmt w:val="bullet"/>
      <w:lvlText w:val="o"/>
      <w:lvlJc w:val="left"/>
      <w:pPr>
        <w:ind w:left="5828" w:hanging="360"/>
      </w:pPr>
      <w:rPr>
        <w:rFonts w:ascii="Courier New" w:hAnsi="Courier New" w:cs="Courier New" w:hint="default"/>
      </w:rPr>
    </w:lvl>
    <w:lvl w:ilvl="8" w:tplc="14090005" w:tentative="1">
      <w:start w:val="1"/>
      <w:numFmt w:val="bullet"/>
      <w:lvlText w:val=""/>
      <w:lvlJc w:val="left"/>
      <w:pPr>
        <w:ind w:left="6548" w:hanging="360"/>
      </w:pPr>
      <w:rPr>
        <w:rFonts w:ascii="Wingdings" w:hAnsi="Wingdings" w:hint="default"/>
      </w:rPr>
    </w:lvl>
  </w:abstractNum>
  <w:abstractNum w:abstractNumId="7">
    <w:nsid w:val="06A507B9"/>
    <w:multiLevelType w:val="hybridMultilevel"/>
    <w:tmpl w:val="6B82E9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AA219C7"/>
    <w:multiLevelType w:val="hybridMultilevel"/>
    <w:tmpl w:val="495E3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AF57972"/>
    <w:multiLevelType w:val="hybridMultilevel"/>
    <w:tmpl w:val="8B1AE8EE"/>
    <w:lvl w:ilvl="0" w:tplc="95C63C30">
      <w:start w:val="1"/>
      <w:numFmt w:val="decimal"/>
      <w:lvlText w:val="%1)"/>
      <w:lvlJc w:val="left"/>
      <w:pPr>
        <w:ind w:left="720" w:hanging="360"/>
      </w:pPr>
      <w:rPr>
        <w:rFonts w:asciiTheme="minorHAnsi" w:eastAsiaTheme="minorHAnsi" w:hAnsiTheme="minorHAnsi"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C722D7E"/>
    <w:multiLevelType w:val="hybridMultilevel"/>
    <w:tmpl w:val="F25EC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0EF4E13"/>
    <w:multiLevelType w:val="hybridMultilevel"/>
    <w:tmpl w:val="03761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3D631B2"/>
    <w:multiLevelType w:val="hybridMultilevel"/>
    <w:tmpl w:val="8CF4DC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861690F"/>
    <w:multiLevelType w:val="multilevel"/>
    <w:tmpl w:val="41BE9774"/>
    <w:styleLink w:val="NumberedStyles"/>
    <w:lvl w:ilvl="0">
      <w:start w:val="1"/>
      <w:numFmt w:val="decimal"/>
      <w:pStyle w:val="Sectiontitle-numbered"/>
      <w:lvlText w:val="%1."/>
      <w:lvlJc w:val="left"/>
      <w:pPr>
        <w:ind w:left="360" w:hanging="360"/>
      </w:pPr>
      <w:rPr>
        <w:rFonts w:ascii="Verdana" w:hAnsi="Verdana" w:hint="default"/>
        <w:b w:val="0"/>
        <w:i w:val="0"/>
        <w:color w:val="000000" w:themeColor="text1"/>
        <w:sz w:val="60"/>
      </w:rPr>
    </w:lvl>
    <w:lvl w:ilvl="1">
      <w:start w:val="1"/>
      <w:numFmt w:val="decimal"/>
      <w:pStyle w:val="Heading1BlueNumbered"/>
      <w:lvlText w:val="%1.%2."/>
      <w:lvlJc w:val="left"/>
      <w:pPr>
        <w:ind w:left="851" w:hanging="851"/>
      </w:pPr>
      <w:rPr>
        <w:rFonts w:ascii="Verdana" w:hAnsi="Verdana" w:hint="default"/>
        <w:b/>
        <w:i w:val="0"/>
        <w:color w:val="62B5E5" w:themeColor="accent3"/>
        <w:sz w:val="18"/>
      </w:rPr>
    </w:lvl>
    <w:lvl w:ilvl="2">
      <w:start w:val="1"/>
      <w:numFmt w:val="decimal"/>
      <w:pStyle w:val="Heading2BlackNumbered"/>
      <w:lvlText w:val="%1.%2.%3."/>
      <w:lvlJc w:val="left"/>
      <w:pPr>
        <w:ind w:left="851" w:hanging="851"/>
      </w:pPr>
      <w:rPr>
        <w:rFonts w:ascii="Verdana" w:hAnsi="Verdana" w:hint="default"/>
        <w:b/>
        <w:i w:val="0"/>
        <w:color w:val="auto"/>
        <w:sz w:val="18"/>
      </w:rPr>
    </w:lvl>
    <w:lvl w:ilvl="3">
      <w:start w:val="1"/>
      <w:numFmt w:val="decimal"/>
      <w:pStyle w:val="Heading3GrayNumbered"/>
      <w:lvlText w:val="%1.%2.%3.%4."/>
      <w:lvlJc w:val="left"/>
      <w:pPr>
        <w:ind w:left="851" w:hanging="851"/>
      </w:pPr>
      <w:rPr>
        <w:rFonts w:ascii="Verdana" w:hAnsi="Verdana" w:cs="Times New Roman" w:hint="default"/>
        <w:b/>
        <w:bCs/>
        <w:i w:val="0"/>
        <w:iCs w:val="0"/>
        <w:caps w:val="0"/>
        <w:smallCaps w:val="0"/>
        <w:strike w:val="0"/>
        <w:dstrike w:val="0"/>
        <w:noProof w:val="0"/>
        <w:vanish w:val="0"/>
        <w:color w:val="75787B" w:themeColor="accent6"/>
        <w:spacing w:val="0"/>
        <w:kern w:val="0"/>
        <w:position w:val="0"/>
        <w:sz w:val="18"/>
        <w:u w:val="none"/>
        <w:effect w:val="none"/>
        <w:vertAlign w:val="baseline"/>
        <w:em w:val="none"/>
        <w:specVanish w:val="0"/>
      </w:rPr>
    </w:lvl>
    <w:lvl w:ilvl="4">
      <w:start w:val="1"/>
      <w:numFmt w:val="none"/>
      <w:lvlText w:val=""/>
      <w:lvlJc w:val="left"/>
      <w:pPr>
        <w:ind w:left="357" w:hanging="357"/>
      </w:pPr>
      <w:rPr>
        <w:rFonts w:hint="default"/>
      </w:rPr>
    </w:lvl>
    <w:lvl w:ilvl="5">
      <w:start w:val="1"/>
      <w:numFmt w:val="none"/>
      <w:lvlText w:val=""/>
      <w:lvlJc w:val="righ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right"/>
      <w:pPr>
        <w:ind w:left="357" w:hanging="357"/>
      </w:pPr>
      <w:rPr>
        <w:rFonts w:hint="default"/>
      </w:rPr>
    </w:lvl>
  </w:abstractNum>
  <w:abstractNum w:abstractNumId="14">
    <w:nsid w:val="19656DA7"/>
    <w:multiLevelType w:val="hybridMultilevel"/>
    <w:tmpl w:val="E7E49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A5F6309"/>
    <w:multiLevelType w:val="hybridMultilevel"/>
    <w:tmpl w:val="83BADE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C3A1B9E"/>
    <w:multiLevelType w:val="hybridMultilevel"/>
    <w:tmpl w:val="8C2A8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C88505F"/>
    <w:multiLevelType w:val="hybridMultilevel"/>
    <w:tmpl w:val="0CCC37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4B32179"/>
    <w:multiLevelType w:val="hybridMultilevel"/>
    <w:tmpl w:val="C87CB7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4F046C1"/>
    <w:multiLevelType w:val="hybridMultilevel"/>
    <w:tmpl w:val="26D411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BB87FE9"/>
    <w:multiLevelType w:val="hybridMultilevel"/>
    <w:tmpl w:val="C742D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D1078AA"/>
    <w:multiLevelType w:val="hybridMultilevel"/>
    <w:tmpl w:val="D52A41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2EA94EBF"/>
    <w:multiLevelType w:val="hybridMultilevel"/>
    <w:tmpl w:val="6D8637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F1033B1"/>
    <w:multiLevelType w:val="hybridMultilevel"/>
    <w:tmpl w:val="A92CA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24B1BA2"/>
    <w:multiLevelType w:val="hybridMultilevel"/>
    <w:tmpl w:val="9A22B6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4FE2DDD"/>
    <w:multiLevelType w:val="hybridMultilevel"/>
    <w:tmpl w:val="CA628A0A"/>
    <w:lvl w:ilvl="0" w:tplc="0BAC49B2">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2185C53"/>
    <w:multiLevelType w:val="hybridMultilevel"/>
    <w:tmpl w:val="6936B1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4F77E32"/>
    <w:multiLevelType w:val="hybridMultilevel"/>
    <w:tmpl w:val="1A7C7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567376D"/>
    <w:multiLevelType w:val="hybridMultilevel"/>
    <w:tmpl w:val="44C49B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6E27EC9"/>
    <w:multiLevelType w:val="hybridMultilevel"/>
    <w:tmpl w:val="7DAE0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B775D84"/>
    <w:multiLevelType w:val="hybridMultilevel"/>
    <w:tmpl w:val="A88EC0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25301E6"/>
    <w:multiLevelType w:val="hybridMultilevel"/>
    <w:tmpl w:val="0678AD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3680DDF"/>
    <w:multiLevelType w:val="hybridMultilevel"/>
    <w:tmpl w:val="BA222A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EFF2105"/>
    <w:multiLevelType w:val="hybridMultilevel"/>
    <w:tmpl w:val="0068E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09A2E7E"/>
    <w:multiLevelType w:val="hybridMultilevel"/>
    <w:tmpl w:val="CDDC28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23D044B"/>
    <w:multiLevelType w:val="hybridMultilevel"/>
    <w:tmpl w:val="CF466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4AC6915"/>
    <w:multiLevelType w:val="hybridMultilevel"/>
    <w:tmpl w:val="34109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4B8348E"/>
    <w:multiLevelType w:val="hybridMultilevel"/>
    <w:tmpl w:val="BC4E9B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7987B07"/>
    <w:multiLevelType w:val="hybridMultilevel"/>
    <w:tmpl w:val="31AE6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95D52E4"/>
    <w:multiLevelType w:val="hybridMultilevel"/>
    <w:tmpl w:val="7892F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9E2428E"/>
    <w:multiLevelType w:val="hybridMultilevel"/>
    <w:tmpl w:val="EB1E8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0A36BB1"/>
    <w:multiLevelType w:val="multilevel"/>
    <w:tmpl w:val="41BE9774"/>
    <w:numStyleLink w:val="NumberedStyles"/>
  </w:abstractNum>
  <w:abstractNum w:abstractNumId="42">
    <w:nsid w:val="71D411B0"/>
    <w:multiLevelType w:val="hybridMultilevel"/>
    <w:tmpl w:val="696CD3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E8C15EB"/>
    <w:multiLevelType w:val="hybridMultilevel"/>
    <w:tmpl w:val="30D26E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25"/>
  </w:num>
  <w:num w:numId="6">
    <w:abstractNumId w:val="4"/>
  </w:num>
  <w:num w:numId="7">
    <w:abstractNumId w:val="13"/>
  </w:num>
  <w:num w:numId="8">
    <w:abstractNumId w:val="41"/>
  </w:num>
  <w:num w:numId="9">
    <w:abstractNumId w:val="8"/>
  </w:num>
  <w:num w:numId="10">
    <w:abstractNumId w:val="28"/>
  </w:num>
  <w:num w:numId="11">
    <w:abstractNumId w:val="34"/>
  </w:num>
  <w:num w:numId="12">
    <w:abstractNumId w:val="15"/>
  </w:num>
  <w:num w:numId="13">
    <w:abstractNumId w:val="29"/>
  </w:num>
  <w:num w:numId="14">
    <w:abstractNumId w:val="32"/>
  </w:num>
  <w:num w:numId="15">
    <w:abstractNumId w:val="7"/>
  </w:num>
  <w:num w:numId="16">
    <w:abstractNumId w:val="22"/>
  </w:num>
  <w:num w:numId="17">
    <w:abstractNumId w:val="18"/>
  </w:num>
  <w:num w:numId="18">
    <w:abstractNumId w:val="9"/>
  </w:num>
  <w:num w:numId="19">
    <w:abstractNumId w:val="37"/>
  </w:num>
  <w:num w:numId="20">
    <w:abstractNumId w:val="16"/>
  </w:num>
  <w:num w:numId="21">
    <w:abstractNumId w:val="38"/>
  </w:num>
  <w:num w:numId="22">
    <w:abstractNumId w:val="17"/>
  </w:num>
  <w:num w:numId="23">
    <w:abstractNumId w:val="35"/>
  </w:num>
  <w:num w:numId="24">
    <w:abstractNumId w:val="20"/>
  </w:num>
  <w:num w:numId="25">
    <w:abstractNumId w:val="26"/>
  </w:num>
  <w:num w:numId="26">
    <w:abstractNumId w:val="39"/>
  </w:num>
  <w:num w:numId="27">
    <w:abstractNumId w:val="40"/>
  </w:num>
  <w:num w:numId="28">
    <w:abstractNumId w:val="27"/>
  </w:num>
  <w:num w:numId="29">
    <w:abstractNumId w:val="36"/>
  </w:num>
  <w:num w:numId="30">
    <w:abstractNumId w:val="12"/>
  </w:num>
  <w:num w:numId="31">
    <w:abstractNumId w:val="21"/>
  </w:num>
  <w:num w:numId="32">
    <w:abstractNumId w:val="10"/>
  </w:num>
  <w:num w:numId="33">
    <w:abstractNumId w:val="23"/>
  </w:num>
  <w:num w:numId="34">
    <w:abstractNumId w:val="42"/>
  </w:num>
  <w:num w:numId="35">
    <w:abstractNumId w:val="14"/>
  </w:num>
  <w:num w:numId="36">
    <w:abstractNumId w:val="11"/>
  </w:num>
  <w:num w:numId="37">
    <w:abstractNumId w:val="19"/>
  </w:num>
  <w:num w:numId="38">
    <w:abstractNumId w:val="33"/>
  </w:num>
  <w:num w:numId="39">
    <w:abstractNumId w:val="31"/>
  </w:num>
  <w:num w:numId="40">
    <w:abstractNumId w:val="5"/>
  </w:num>
  <w:num w:numId="41">
    <w:abstractNumId w:val="30"/>
  </w:num>
  <w:num w:numId="42">
    <w:abstractNumId w:val="24"/>
  </w:num>
  <w:num w:numId="43">
    <w:abstractNumId w:val="43"/>
  </w:num>
  <w:num w:numId="44">
    <w:abstractNumId w:val="6"/>
  </w:num>
  <w:num w:numId="45">
    <w:abstractNumId w:val="41"/>
  </w:num>
  <w:num w:numId="46">
    <w:abstractNumId w:val="41"/>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sea-Smith, Jake (NZ - Wellington)">
    <w15:presenceInfo w15:providerId="AD" w15:userId="S-1-5-21-776561741-1482476501-682003330-594397"/>
  </w15:person>
  <w15:person w15:author="Burr, Sarah (NZ - Wellington)">
    <w15:presenceInfo w15:providerId="AD" w15:userId="S-1-5-21-776561741-1482476501-682003330-75847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attachedTemplate r:id="rId1"/>
  <w:stylePaneSortMethod w:val="0000"/>
  <w:defaultTabStop w:val="720"/>
  <w:characterSpacingControl w:val="doNotCompress"/>
  <w:hdrShapeDefaults>
    <o:shapedefaults v:ext="edit" spidmax="14338"/>
  </w:hdrShapeDefaults>
  <w:footnotePr>
    <w:footnote w:id="-1"/>
    <w:footnote w:id="0"/>
  </w:footnotePr>
  <w:endnotePr>
    <w:endnote w:id="-1"/>
    <w:endnote w:id="0"/>
  </w:endnotePr>
  <w:compat/>
  <w:rsids>
    <w:rsidRoot w:val="0041015B"/>
    <w:rsid w:val="000005FE"/>
    <w:rsid w:val="0000364B"/>
    <w:rsid w:val="000043D7"/>
    <w:rsid w:val="000057D4"/>
    <w:rsid w:val="0001273A"/>
    <w:rsid w:val="000131A3"/>
    <w:rsid w:val="000144EF"/>
    <w:rsid w:val="00014B89"/>
    <w:rsid w:val="00015F15"/>
    <w:rsid w:val="000173B3"/>
    <w:rsid w:val="00020755"/>
    <w:rsid w:val="0002076F"/>
    <w:rsid w:val="00020D44"/>
    <w:rsid w:val="000211C5"/>
    <w:rsid w:val="00021A39"/>
    <w:rsid w:val="00022A12"/>
    <w:rsid w:val="00024316"/>
    <w:rsid w:val="00025E7D"/>
    <w:rsid w:val="0002617B"/>
    <w:rsid w:val="0003178E"/>
    <w:rsid w:val="00035DBA"/>
    <w:rsid w:val="00037C17"/>
    <w:rsid w:val="00037D44"/>
    <w:rsid w:val="00041DB4"/>
    <w:rsid w:val="000429AC"/>
    <w:rsid w:val="00042B6A"/>
    <w:rsid w:val="00042B99"/>
    <w:rsid w:val="00046006"/>
    <w:rsid w:val="0004675B"/>
    <w:rsid w:val="000516C4"/>
    <w:rsid w:val="000517C0"/>
    <w:rsid w:val="000531E0"/>
    <w:rsid w:val="00053740"/>
    <w:rsid w:val="00053BAB"/>
    <w:rsid w:val="00053F1B"/>
    <w:rsid w:val="000564D3"/>
    <w:rsid w:val="00061444"/>
    <w:rsid w:val="00061CC3"/>
    <w:rsid w:val="00062870"/>
    <w:rsid w:val="000637A6"/>
    <w:rsid w:val="00066BBA"/>
    <w:rsid w:val="00071509"/>
    <w:rsid w:val="0007368F"/>
    <w:rsid w:val="00075404"/>
    <w:rsid w:val="000759BA"/>
    <w:rsid w:val="00083DD5"/>
    <w:rsid w:val="00085652"/>
    <w:rsid w:val="00092341"/>
    <w:rsid w:val="00095F9B"/>
    <w:rsid w:val="00096130"/>
    <w:rsid w:val="000A0785"/>
    <w:rsid w:val="000A7F05"/>
    <w:rsid w:val="000B4706"/>
    <w:rsid w:val="000B4EFB"/>
    <w:rsid w:val="000B57AD"/>
    <w:rsid w:val="000B6C05"/>
    <w:rsid w:val="000C1A68"/>
    <w:rsid w:val="000C20BD"/>
    <w:rsid w:val="000C27B8"/>
    <w:rsid w:val="000C2B24"/>
    <w:rsid w:val="000C4BCB"/>
    <w:rsid w:val="000C5EA5"/>
    <w:rsid w:val="000C6A93"/>
    <w:rsid w:val="000D2DE0"/>
    <w:rsid w:val="000D3A31"/>
    <w:rsid w:val="000D5CB0"/>
    <w:rsid w:val="000E2C94"/>
    <w:rsid w:val="000E3F4C"/>
    <w:rsid w:val="000E4AA4"/>
    <w:rsid w:val="000F294D"/>
    <w:rsid w:val="000F3E44"/>
    <w:rsid w:val="000F5C22"/>
    <w:rsid w:val="0010113D"/>
    <w:rsid w:val="0010462B"/>
    <w:rsid w:val="00111011"/>
    <w:rsid w:val="0011367C"/>
    <w:rsid w:val="00115808"/>
    <w:rsid w:val="00115ECF"/>
    <w:rsid w:val="00121314"/>
    <w:rsid w:val="00122035"/>
    <w:rsid w:val="00123AD3"/>
    <w:rsid w:val="00124488"/>
    <w:rsid w:val="001244B6"/>
    <w:rsid w:val="00125EF4"/>
    <w:rsid w:val="001265CF"/>
    <w:rsid w:val="00130191"/>
    <w:rsid w:val="00131436"/>
    <w:rsid w:val="00131B09"/>
    <w:rsid w:val="001351A4"/>
    <w:rsid w:val="00135844"/>
    <w:rsid w:val="00136294"/>
    <w:rsid w:val="0013710A"/>
    <w:rsid w:val="00137E78"/>
    <w:rsid w:val="001414D0"/>
    <w:rsid w:val="00142F49"/>
    <w:rsid w:val="001457BC"/>
    <w:rsid w:val="00147BD7"/>
    <w:rsid w:val="00154D8E"/>
    <w:rsid w:val="0015653F"/>
    <w:rsid w:val="00157BD7"/>
    <w:rsid w:val="00157EAE"/>
    <w:rsid w:val="00163881"/>
    <w:rsid w:val="001659E4"/>
    <w:rsid w:val="00167FE1"/>
    <w:rsid w:val="001708B9"/>
    <w:rsid w:val="00170941"/>
    <w:rsid w:val="0017280D"/>
    <w:rsid w:val="001737F2"/>
    <w:rsid w:val="001757CE"/>
    <w:rsid w:val="00180BDA"/>
    <w:rsid w:val="0018108F"/>
    <w:rsid w:val="00184736"/>
    <w:rsid w:val="001848E6"/>
    <w:rsid w:val="00186FC8"/>
    <w:rsid w:val="001908BE"/>
    <w:rsid w:val="00190DAE"/>
    <w:rsid w:val="00191B09"/>
    <w:rsid w:val="00192C73"/>
    <w:rsid w:val="00193858"/>
    <w:rsid w:val="00194066"/>
    <w:rsid w:val="001975EF"/>
    <w:rsid w:val="0019765A"/>
    <w:rsid w:val="001A0960"/>
    <w:rsid w:val="001A45CF"/>
    <w:rsid w:val="001A57E2"/>
    <w:rsid w:val="001A717C"/>
    <w:rsid w:val="001B0F94"/>
    <w:rsid w:val="001B5C19"/>
    <w:rsid w:val="001B6C6B"/>
    <w:rsid w:val="001C4161"/>
    <w:rsid w:val="001C46E1"/>
    <w:rsid w:val="001C4A20"/>
    <w:rsid w:val="001D03A7"/>
    <w:rsid w:val="001D7A73"/>
    <w:rsid w:val="001E016B"/>
    <w:rsid w:val="001E11EC"/>
    <w:rsid w:val="001E3F45"/>
    <w:rsid w:val="001E5968"/>
    <w:rsid w:val="001E7D3E"/>
    <w:rsid w:val="001F38BE"/>
    <w:rsid w:val="001F5B54"/>
    <w:rsid w:val="001F61B8"/>
    <w:rsid w:val="001F6839"/>
    <w:rsid w:val="0020258C"/>
    <w:rsid w:val="00204CBA"/>
    <w:rsid w:val="00206ECD"/>
    <w:rsid w:val="00211AB1"/>
    <w:rsid w:val="00212852"/>
    <w:rsid w:val="002162CA"/>
    <w:rsid w:val="00216CF6"/>
    <w:rsid w:val="002178F3"/>
    <w:rsid w:val="00220CCF"/>
    <w:rsid w:val="002233FE"/>
    <w:rsid w:val="00225262"/>
    <w:rsid w:val="00227B37"/>
    <w:rsid w:val="00227ECA"/>
    <w:rsid w:val="00227F1F"/>
    <w:rsid w:val="00231B44"/>
    <w:rsid w:val="00232A32"/>
    <w:rsid w:val="002339A0"/>
    <w:rsid w:val="002340B6"/>
    <w:rsid w:val="002341DD"/>
    <w:rsid w:val="00234BA2"/>
    <w:rsid w:val="00235582"/>
    <w:rsid w:val="002370AB"/>
    <w:rsid w:val="00237872"/>
    <w:rsid w:val="00243A4F"/>
    <w:rsid w:val="00244010"/>
    <w:rsid w:val="00250C8F"/>
    <w:rsid w:val="0025105E"/>
    <w:rsid w:val="00253D2A"/>
    <w:rsid w:val="00255511"/>
    <w:rsid w:val="00255D53"/>
    <w:rsid w:val="00256985"/>
    <w:rsid w:val="002602AA"/>
    <w:rsid w:val="00260661"/>
    <w:rsid w:val="00261CEA"/>
    <w:rsid w:val="0026287D"/>
    <w:rsid w:val="0026700C"/>
    <w:rsid w:val="002721E8"/>
    <w:rsid w:val="002732C7"/>
    <w:rsid w:val="00273EBE"/>
    <w:rsid w:val="00276320"/>
    <w:rsid w:val="002776B8"/>
    <w:rsid w:val="00280304"/>
    <w:rsid w:val="0028705C"/>
    <w:rsid w:val="00287306"/>
    <w:rsid w:val="00287604"/>
    <w:rsid w:val="00290DE3"/>
    <w:rsid w:val="002930B2"/>
    <w:rsid w:val="002936C1"/>
    <w:rsid w:val="00294BBA"/>
    <w:rsid w:val="002957ED"/>
    <w:rsid w:val="00295B52"/>
    <w:rsid w:val="00297214"/>
    <w:rsid w:val="002A1C3C"/>
    <w:rsid w:val="002A38F8"/>
    <w:rsid w:val="002A66F2"/>
    <w:rsid w:val="002B1F83"/>
    <w:rsid w:val="002B2376"/>
    <w:rsid w:val="002B4054"/>
    <w:rsid w:val="002B44C6"/>
    <w:rsid w:val="002B4789"/>
    <w:rsid w:val="002B4D02"/>
    <w:rsid w:val="002B6D2E"/>
    <w:rsid w:val="002B7A02"/>
    <w:rsid w:val="002C099D"/>
    <w:rsid w:val="002C1927"/>
    <w:rsid w:val="002C5FEA"/>
    <w:rsid w:val="002C610A"/>
    <w:rsid w:val="002C690A"/>
    <w:rsid w:val="002C6D49"/>
    <w:rsid w:val="002C6F50"/>
    <w:rsid w:val="002C7CEB"/>
    <w:rsid w:val="002D2084"/>
    <w:rsid w:val="002D41F7"/>
    <w:rsid w:val="002D49DA"/>
    <w:rsid w:val="002D4C8B"/>
    <w:rsid w:val="002E01A5"/>
    <w:rsid w:val="002E09E1"/>
    <w:rsid w:val="002E1B81"/>
    <w:rsid w:val="002E1C00"/>
    <w:rsid w:val="002E6084"/>
    <w:rsid w:val="002E7099"/>
    <w:rsid w:val="002F2771"/>
    <w:rsid w:val="002F2C5F"/>
    <w:rsid w:val="002F752A"/>
    <w:rsid w:val="00300ABC"/>
    <w:rsid w:val="00304277"/>
    <w:rsid w:val="00305FEC"/>
    <w:rsid w:val="003110F0"/>
    <w:rsid w:val="003121C1"/>
    <w:rsid w:val="00312FD9"/>
    <w:rsid w:val="003234C9"/>
    <w:rsid w:val="0032373B"/>
    <w:rsid w:val="00326459"/>
    <w:rsid w:val="003314E3"/>
    <w:rsid w:val="00331D1F"/>
    <w:rsid w:val="00333F51"/>
    <w:rsid w:val="00334490"/>
    <w:rsid w:val="00337401"/>
    <w:rsid w:val="00337680"/>
    <w:rsid w:val="00352C3C"/>
    <w:rsid w:val="00355373"/>
    <w:rsid w:val="00357E4F"/>
    <w:rsid w:val="00357FD1"/>
    <w:rsid w:val="00362817"/>
    <w:rsid w:val="00365708"/>
    <w:rsid w:val="0037197F"/>
    <w:rsid w:val="00371BF9"/>
    <w:rsid w:val="00375EB8"/>
    <w:rsid w:val="00377AE4"/>
    <w:rsid w:val="00380613"/>
    <w:rsid w:val="0038084E"/>
    <w:rsid w:val="00385814"/>
    <w:rsid w:val="003863C7"/>
    <w:rsid w:val="0039181B"/>
    <w:rsid w:val="003923FD"/>
    <w:rsid w:val="00395674"/>
    <w:rsid w:val="00396E25"/>
    <w:rsid w:val="00397526"/>
    <w:rsid w:val="003A003A"/>
    <w:rsid w:val="003A095F"/>
    <w:rsid w:val="003A3FAF"/>
    <w:rsid w:val="003A494E"/>
    <w:rsid w:val="003A6542"/>
    <w:rsid w:val="003A6E79"/>
    <w:rsid w:val="003A7BD9"/>
    <w:rsid w:val="003B244D"/>
    <w:rsid w:val="003B3379"/>
    <w:rsid w:val="003B3C47"/>
    <w:rsid w:val="003B3F96"/>
    <w:rsid w:val="003B47DE"/>
    <w:rsid w:val="003C12AF"/>
    <w:rsid w:val="003C3D40"/>
    <w:rsid w:val="003C4BE0"/>
    <w:rsid w:val="003C4BE4"/>
    <w:rsid w:val="003C4DE4"/>
    <w:rsid w:val="003D1A80"/>
    <w:rsid w:val="003D2AB4"/>
    <w:rsid w:val="003D4064"/>
    <w:rsid w:val="003D6AC0"/>
    <w:rsid w:val="003D7BDF"/>
    <w:rsid w:val="003D7CD2"/>
    <w:rsid w:val="003E138D"/>
    <w:rsid w:val="003E1820"/>
    <w:rsid w:val="003E49BA"/>
    <w:rsid w:val="003F1CA5"/>
    <w:rsid w:val="003F21AA"/>
    <w:rsid w:val="003F2224"/>
    <w:rsid w:val="003F23A3"/>
    <w:rsid w:val="003F597A"/>
    <w:rsid w:val="003F65B3"/>
    <w:rsid w:val="00404297"/>
    <w:rsid w:val="004052BC"/>
    <w:rsid w:val="004066C3"/>
    <w:rsid w:val="00407A32"/>
    <w:rsid w:val="0041015B"/>
    <w:rsid w:val="004123F6"/>
    <w:rsid w:val="00412EA0"/>
    <w:rsid w:val="00416CF0"/>
    <w:rsid w:val="004175FD"/>
    <w:rsid w:val="004262DB"/>
    <w:rsid w:val="0043040B"/>
    <w:rsid w:val="004314E1"/>
    <w:rsid w:val="00432002"/>
    <w:rsid w:val="00435702"/>
    <w:rsid w:val="00435E9B"/>
    <w:rsid w:val="0044117C"/>
    <w:rsid w:val="0044132E"/>
    <w:rsid w:val="00445046"/>
    <w:rsid w:val="0044558B"/>
    <w:rsid w:val="004509E3"/>
    <w:rsid w:val="00451AD9"/>
    <w:rsid w:val="00453BE6"/>
    <w:rsid w:val="00453F7C"/>
    <w:rsid w:val="0046625A"/>
    <w:rsid w:val="00467262"/>
    <w:rsid w:val="00470791"/>
    <w:rsid w:val="00473614"/>
    <w:rsid w:val="00477351"/>
    <w:rsid w:val="0048053F"/>
    <w:rsid w:val="00480953"/>
    <w:rsid w:val="004860A3"/>
    <w:rsid w:val="004860DC"/>
    <w:rsid w:val="00486736"/>
    <w:rsid w:val="00487DDE"/>
    <w:rsid w:val="00490492"/>
    <w:rsid w:val="00492298"/>
    <w:rsid w:val="004A0DCC"/>
    <w:rsid w:val="004A54A2"/>
    <w:rsid w:val="004A57CB"/>
    <w:rsid w:val="004A6C6D"/>
    <w:rsid w:val="004A73AD"/>
    <w:rsid w:val="004B1C8D"/>
    <w:rsid w:val="004B2F61"/>
    <w:rsid w:val="004B33E5"/>
    <w:rsid w:val="004B4D85"/>
    <w:rsid w:val="004B7C63"/>
    <w:rsid w:val="004B7D4C"/>
    <w:rsid w:val="004C2466"/>
    <w:rsid w:val="004C2616"/>
    <w:rsid w:val="004C4281"/>
    <w:rsid w:val="004D159E"/>
    <w:rsid w:val="004D1751"/>
    <w:rsid w:val="004D1F57"/>
    <w:rsid w:val="004D249B"/>
    <w:rsid w:val="004D41E1"/>
    <w:rsid w:val="004D49FC"/>
    <w:rsid w:val="004D50F3"/>
    <w:rsid w:val="004D792F"/>
    <w:rsid w:val="004E0940"/>
    <w:rsid w:val="004E4D6C"/>
    <w:rsid w:val="004E6CC8"/>
    <w:rsid w:val="004F24DE"/>
    <w:rsid w:val="004F47B4"/>
    <w:rsid w:val="004F4A4B"/>
    <w:rsid w:val="004F4D35"/>
    <w:rsid w:val="004F514A"/>
    <w:rsid w:val="00501EFF"/>
    <w:rsid w:val="005049DA"/>
    <w:rsid w:val="00507BDF"/>
    <w:rsid w:val="0051061C"/>
    <w:rsid w:val="00523141"/>
    <w:rsid w:val="00523743"/>
    <w:rsid w:val="00526863"/>
    <w:rsid w:val="005270F9"/>
    <w:rsid w:val="005308BC"/>
    <w:rsid w:val="0053387E"/>
    <w:rsid w:val="005360AE"/>
    <w:rsid w:val="00541EC1"/>
    <w:rsid w:val="00542505"/>
    <w:rsid w:val="00543BA8"/>
    <w:rsid w:val="00544D24"/>
    <w:rsid w:val="00546D7F"/>
    <w:rsid w:val="005471C1"/>
    <w:rsid w:val="0055157E"/>
    <w:rsid w:val="00555F85"/>
    <w:rsid w:val="00556517"/>
    <w:rsid w:val="0055737E"/>
    <w:rsid w:val="00563C6F"/>
    <w:rsid w:val="00564F21"/>
    <w:rsid w:val="00565F0D"/>
    <w:rsid w:val="0056643D"/>
    <w:rsid w:val="00573556"/>
    <w:rsid w:val="00573904"/>
    <w:rsid w:val="00573D2F"/>
    <w:rsid w:val="00576200"/>
    <w:rsid w:val="00580D16"/>
    <w:rsid w:val="005843DE"/>
    <w:rsid w:val="00590943"/>
    <w:rsid w:val="00593BF7"/>
    <w:rsid w:val="005967D7"/>
    <w:rsid w:val="0059682F"/>
    <w:rsid w:val="005969FB"/>
    <w:rsid w:val="005A2F56"/>
    <w:rsid w:val="005A6269"/>
    <w:rsid w:val="005B6B53"/>
    <w:rsid w:val="005C04BA"/>
    <w:rsid w:val="005C1CE6"/>
    <w:rsid w:val="005C59D1"/>
    <w:rsid w:val="005C6321"/>
    <w:rsid w:val="005D04B2"/>
    <w:rsid w:val="005D089E"/>
    <w:rsid w:val="005D5512"/>
    <w:rsid w:val="005D6887"/>
    <w:rsid w:val="005E1679"/>
    <w:rsid w:val="005E22D2"/>
    <w:rsid w:val="005E3501"/>
    <w:rsid w:val="005F2953"/>
    <w:rsid w:val="005F3AFE"/>
    <w:rsid w:val="005F3D7B"/>
    <w:rsid w:val="005F525A"/>
    <w:rsid w:val="005F54F5"/>
    <w:rsid w:val="005F68FD"/>
    <w:rsid w:val="005F74C0"/>
    <w:rsid w:val="006002D3"/>
    <w:rsid w:val="00605199"/>
    <w:rsid w:val="00610146"/>
    <w:rsid w:val="00611254"/>
    <w:rsid w:val="00614CD4"/>
    <w:rsid w:val="0062053D"/>
    <w:rsid w:val="006222D0"/>
    <w:rsid w:val="00622B3F"/>
    <w:rsid w:val="00624C5E"/>
    <w:rsid w:val="00626FD8"/>
    <w:rsid w:val="00640353"/>
    <w:rsid w:val="006464CD"/>
    <w:rsid w:val="00650D85"/>
    <w:rsid w:val="006514A1"/>
    <w:rsid w:val="006519DE"/>
    <w:rsid w:val="006528C9"/>
    <w:rsid w:val="0065327F"/>
    <w:rsid w:val="0065511F"/>
    <w:rsid w:val="00655265"/>
    <w:rsid w:val="006577B2"/>
    <w:rsid w:val="006602E7"/>
    <w:rsid w:val="00660EE1"/>
    <w:rsid w:val="006673E8"/>
    <w:rsid w:val="006708BE"/>
    <w:rsid w:val="00671EC0"/>
    <w:rsid w:val="00673408"/>
    <w:rsid w:val="00673A81"/>
    <w:rsid w:val="00675422"/>
    <w:rsid w:val="00676F48"/>
    <w:rsid w:val="0067770B"/>
    <w:rsid w:val="00686056"/>
    <w:rsid w:val="00691C32"/>
    <w:rsid w:val="006A14A6"/>
    <w:rsid w:val="006A3AFF"/>
    <w:rsid w:val="006A473D"/>
    <w:rsid w:val="006B0513"/>
    <w:rsid w:val="006B0930"/>
    <w:rsid w:val="006B16E0"/>
    <w:rsid w:val="006B1D16"/>
    <w:rsid w:val="006B24BB"/>
    <w:rsid w:val="006B2706"/>
    <w:rsid w:val="006B2A3F"/>
    <w:rsid w:val="006B30D1"/>
    <w:rsid w:val="006B39D6"/>
    <w:rsid w:val="006B4658"/>
    <w:rsid w:val="006B4816"/>
    <w:rsid w:val="006B577D"/>
    <w:rsid w:val="006B6F01"/>
    <w:rsid w:val="006C5AD3"/>
    <w:rsid w:val="006C617F"/>
    <w:rsid w:val="006D6A17"/>
    <w:rsid w:val="006E40C7"/>
    <w:rsid w:val="006E5474"/>
    <w:rsid w:val="006E778C"/>
    <w:rsid w:val="006F0CD0"/>
    <w:rsid w:val="006F4313"/>
    <w:rsid w:val="006F4F54"/>
    <w:rsid w:val="006F7FD2"/>
    <w:rsid w:val="00702B53"/>
    <w:rsid w:val="00703068"/>
    <w:rsid w:val="00705766"/>
    <w:rsid w:val="00706451"/>
    <w:rsid w:val="00713041"/>
    <w:rsid w:val="00713F90"/>
    <w:rsid w:val="007172D9"/>
    <w:rsid w:val="00717FE8"/>
    <w:rsid w:val="0072036C"/>
    <w:rsid w:val="00720888"/>
    <w:rsid w:val="00720ADF"/>
    <w:rsid w:val="0072138D"/>
    <w:rsid w:val="00722631"/>
    <w:rsid w:val="00725FD8"/>
    <w:rsid w:val="0072714F"/>
    <w:rsid w:val="0072746D"/>
    <w:rsid w:val="007277FA"/>
    <w:rsid w:val="007312AA"/>
    <w:rsid w:val="00732970"/>
    <w:rsid w:val="00732FA6"/>
    <w:rsid w:val="007342AA"/>
    <w:rsid w:val="00734C1B"/>
    <w:rsid w:val="00736DE9"/>
    <w:rsid w:val="0073711D"/>
    <w:rsid w:val="00741FA2"/>
    <w:rsid w:val="00745399"/>
    <w:rsid w:val="00745FE2"/>
    <w:rsid w:val="007460A4"/>
    <w:rsid w:val="00750682"/>
    <w:rsid w:val="00750B8C"/>
    <w:rsid w:val="00750D3B"/>
    <w:rsid w:val="007516F0"/>
    <w:rsid w:val="0075203D"/>
    <w:rsid w:val="00753A99"/>
    <w:rsid w:val="007550AB"/>
    <w:rsid w:val="0075780E"/>
    <w:rsid w:val="007604FB"/>
    <w:rsid w:val="00762103"/>
    <w:rsid w:val="007653DA"/>
    <w:rsid w:val="0076614E"/>
    <w:rsid w:val="00772D5F"/>
    <w:rsid w:val="00773725"/>
    <w:rsid w:val="00774D93"/>
    <w:rsid w:val="007778BB"/>
    <w:rsid w:val="00783199"/>
    <w:rsid w:val="00783D5D"/>
    <w:rsid w:val="007842CF"/>
    <w:rsid w:val="007846AD"/>
    <w:rsid w:val="00784EB7"/>
    <w:rsid w:val="0079305A"/>
    <w:rsid w:val="007A1421"/>
    <w:rsid w:val="007A15FA"/>
    <w:rsid w:val="007B25E2"/>
    <w:rsid w:val="007B29C4"/>
    <w:rsid w:val="007B2FB1"/>
    <w:rsid w:val="007B300E"/>
    <w:rsid w:val="007B47D4"/>
    <w:rsid w:val="007B5DD6"/>
    <w:rsid w:val="007C008A"/>
    <w:rsid w:val="007C0C20"/>
    <w:rsid w:val="007C4779"/>
    <w:rsid w:val="007C7944"/>
    <w:rsid w:val="007C7C55"/>
    <w:rsid w:val="007D0C21"/>
    <w:rsid w:val="007D5889"/>
    <w:rsid w:val="007D5DC9"/>
    <w:rsid w:val="007E03C0"/>
    <w:rsid w:val="007E2034"/>
    <w:rsid w:val="007E2836"/>
    <w:rsid w:val="007E568A"/>
    <w:rsid w:val="007F0AF6"/>
    <w:rsid w:val="007F0D03"/>
    <w:rsid w:val="007F4828"/>
    <w:rsid w:val="007F6D63"/>
    <w:rsid w:val="008005C8"/>
    <w:rsid w:val="008006BE"/>
    <w:rsid w:val="00802289"/>
    <w:rsid w:val="0080397A"/>
    <w:rsid w:val="00805B1B"/>
    <w:rsid w:val="00806512"/>
    <w:rsid w:val="00807054"/>
    <w:rsid w:val="0080728A"/>
    <w:rsid w:val="00807B04"/>
    <w:rsid w:val="008106D9"/>
    <w:rsid w:val="00810B8D"/>
    <w:rsid w:val="00810E02"/>
    <w:rsid w:val="008111FD"/>
    <w:rsid w:val="0081120A"/>
    <w:rsid w:val="00813DBC"/>
    <w:rsid w:val="00813F7A"/>
    <w:rsid w:val="008144A8"/>
    <w:rsid w:val="00821F18"/>
    <w:rsid w:val="00822995"/>
    <w:rsid w:val="00822FC7"/>
    <w:rsid w:val="0082427D"/>
    <w:rsid w:val="00825CB7"/>
    <w:rsid w:val="00827A1B"/>
    <w:rsid w:val="00834975"/>
    <w:rsid w:val="00835701"/>
    <w:rsid w:val="00855A9A"/>
    <w:rsid w:val="00856A0E"/>
    <w:rsid w:val="00857A8F"/>
    <w:rsid w:val="00857C47"/>
    <w:rsid w:val="008625B5"/>
    <w:rsid w:val="008631CE"/>
    <w:rsid w:val="00863E7C"/>
    <w:rsid w:val="0086443E"/>
    <w:rsid w:val="0086610A"/>
    <w:rsid w:val="008722EC"/>
    <w:rsid w:val="00872FD2"/>
    <w:rsid w:val="00873D35"/>
    <w:rsid w:val="00875396"/>
    <w:rsid w:val="00876842"/>
    <w:rsid w:val="00876869"/>
    <w:rsid w:val="00881714"/>
    <w:rsid w:val="00881E07"/>
    <w:rsid w:val="008836DC"/>
    <w:rsid w:val="00884A25"/>
    <w:rsid w:val="00890D5E"/>
    <w:rsid w:val="00893625"/>
    <w:rsid w:val="008938C9"/>
    <w:rsid w:val="00894F9A"/>
    <w:rsid w:val="00895512"/>
    <w:rsid w:val="0089574A"/>
    <w:rsid w:val="008969FF"/>
    <w:rsid w:val="00896AB7"/>
    <w:rsid w:val="00896BD0"/>
    <w:rsid w:val="008A0667"/>
    <w:rsid w:val="008A282F"/>
    <w:rsid w:val="008A4C26"/>
    <w:rsid w:val="008B215D"/>
    <w:rsid w:val="008B26FD"/>
    <w:rsid w:val="008B2E86"/>
    <w:rsid w:val="008B456A"/>
    <w:rsid w:val="008B6F43"/>
    <w:rsid w:val="008C0EAA"/>
    <w:rsid w:val="008C2D29"/>
    <w:rsid w:val="008C5A91"/>
    <w:rsid w:val="008C7BB9"/>
    <w:rsid w:val="008D1ECE"/>
    <w:rsid w:val="008D31D6"/>
    <w:rsid w:val="008D3AC3"/>
    <w:rsid w:val="008D3E79"/>
    <w:rsid w:val="008D3EA1"/>
    <w:rsid w:val="008D4C53"/>
    <w:rsid w:val="008D6A4D"/>
    <w:rsid w:val="008D724E"/>
    <w:rsid w:val="008E07CB"/>
    <w:rsid w:val="008E2172"/>
    <w:rsid w:val="008E2830"/>
    <w:rsid w:val="008E3008"/>
    <w:rsid w:val="008E44EB"/>
    <w:rsid w:val="008E5DC6"/>
    <w:rsid w:val="008E7B8E"/>
    <w:rsid w:val="008E7ED3"/>
    <w:rsid w:val="008F31BA"/>
    <w:rsid w:val="008F5850"/>
    <w:rsid w:val="008F6110"/>
    <w:rsid w:val="00902B82"/>
    <w:rsid w:val="00902D62"/>
    <w:rsid w:val="00903C1A"/>
    <w:rsid w:val="00904097"/>
    <w:rsid w:val="009049CB"/>
    <w:rsid w:val="009053F7"/>
    <w:rsid w:val="00905422"/>
    <w:rsid w:val="009076E2"/>
    <w:rsid w:val="00907FEE"/>
    <w:rsid w:val="0091290F"/>
    <w:rsid w:val="009141D9"/>
    <w:rsid w:val="009276B0"/>
    <w:rsid w:val="00930258"/>
    <w:rsid w:val="00930A39"/>
    <w:rsid w:val="00931664"/>
    <w:rsid w:val="009322D4"/>
    <w:rsid w:val="009350F0"/>
    <w:rsid w:val="009419A4"/>
    <w:rsid w:val="00941E2B"/>
    <w:rsid w:val="00952D32"/>
    <w:rsid w:val="00957BA0"/>
    <w:rsid w:val="0096492A"/>
    <w:rsid w:val="0096533E"/>
    <w:rsid w:val="00970FE5"/>
    <w:rsid w:val="009745AB"/>
    <w:rsid w:val="00977BEA"/>
    <w:rsid w:val="0098214F"/>
    <w:rsid w:val="00987208"/>
    <w:rsid w:val="00990410"/>
    <w:rsid w:val="00990D2F"/>
    <w:rsid w:val="00991538"/>
    <w:rsid w:val="0099372E"/>
    <w:rsid w:val="00994BF8"/>
    <w:rsid w:val="00994C96"/>
    <w:rsid w:val="00995104"/>
    <w:rsid w:val="009A0464"/>
    <w:rsid w:val="009A3829"/>
    <w:rsid w:val="009A44A5"/>
    <w:rsid w:val="009A4578"/>
    <w:rsid w:val="009A7C67"/>
    <w:rsid w:val="009B058D"/>
    <w:rsid w:val="009B139F"/>
    <w:rsid w:val="009B2D95"/>
    <w:rsid w:val="009B3157"/>
    <w:rsid w:val="009B4933"/>
    <w:rsid w:val="009B5291"/>
    <w:rsid w:val="009B60B8"/>
    <w:rsid w:val="009B7711"/>
    <w:rsid w:val="009B77AB"/>
    <w:rsid w:val="009C0014"/>
    <w:rsid w:val="009C048B"/>
    <w:rsid w:val="009C09C0"/>
    <w:rsid w:val="009C136B"/>
    <w:rsid w:val="009C403B"/>
    <w:rsid w:val="009C7BB6"/>
    <w:rsid w:val="009D3564"/>
    <w:rsid w:val="009D5174"/>
    <w:rsid w:val="009D57E3"/>
    <w:rsid w:val="009D62AB"/>
    <w:rsid w:val="009E006D"/>
    <w:rsid w:val="009E0A65"/>
    <w:rsid w:val="009E5122"/>
    <w:rsid w:val="009E663D"/>
    <w:rsid w:val="009E779E"/>
    <w:rsid w:val="009E7E6B"/>
    <w:rsid w:val="009F111E"/>
    <w:rsid w:val="009F6311"/>
    <w:rsid w:val="00A00B94"/>
    <w:rsid w:val="00A01074"/>
    <w:rsid w:val="00A03EF1"/>
    <w:rsid w:val="00A04B2D"/>
    <w:rsid w:val="00A062E0"/>
    <w:rsid w:val="00A063EE"/>
    <w:rsid w:val="00A161A4"/>
    <w:rsid w:val="00A167ED"/>
    <w:rsid w:val="00A17342"/>
    <w:rsid w:val="00A17957"/>
    <w:rsid w:val="00A222CD"/>
    <w:rsid w:val="00A22C63"/>
    <w:rsid w:val="00A27FC9"/>
    <w:rsid w:val="00A304FE"/>
    <w:rsid w:val="00A32258"/>
    <w:rsid w:val="00A33333"/>
    <w:rsid w:val="00A37554"/>
    <w:rsid w:val="00A4060D"/>
    <w:rsid w:val="00A43B3E"/>
    <w:rsid w:val="00A512B9"/>
    <w:rsid w:val="00A52607"/>
    <w:rsid w:val="00A53D12"/>
    <w:rsid w:val="00A56CB7"/>
    <w:rsid w:val="00A659E1"/>
    <w:rsid w:val="00A65B9C"/>
    <w:rsid w:val="00A6748B"/>
    <w:rsid w:val="00A678C1"/>
    <w:rsid w:val="00A7221E"/>
    <w:rsid w:val="00A7281A"/>
    <w:rsid w:val="00A771BD"/>
    <w:rsid w:val="00A80E26"/>
    <w:rsid w:val="00A82056"/>
    <w:rsid w:val="00A846ED"/>
    <w:rsid w:val="00A85445"/>
    <w:rsid w:val="00A860C9"/>
    <w:rsid w:val="00A87C3C"/>
    <w:rsid w:val="00A900CC"/>
    <w:rsid w:val="00A901B0"/>
    <w:rsid w:val="00A9095F"/>
    <w:rsid w:val="00A92C8B"/>
    <w:rsid w:val="00A96BDD"/>
    <w:rsid w:val="00A97EDE"/>
    <w:rsid w:val="00AA024C"/>
    <w:rsid w:val="00AA34E3"/>
    <w:rsid w:val="00AA4905"/>
    <w:rsid w:val="00AA4BEF"/>
    <w:rsid w:val="00AA7500"/>
    <w:rsid w:val="00AB1105"/>
    <w:rsid w:val="00AB19FB"/>
    <w:rsid w:val="00AB32A9"/>
    <w:rsid w:val="00AB3DD5"/>
    <w:rsid w:val="00AB4920"/>
    <w:rsid w:val="00AB6034"/>
    <w:rsid w:val="00AC02AA"/>
    <w:rsid w:val="00AC1D94"/>
    <w:rsid w:val="00AC2081"/>
    <w:rsid w:val="00AC40E5"/>
    <w:rsid w:val="00AC58A0"/>
    <w:rsid w:val="00AC7FE4"/>
    <w:rsid w:val="00AD6475"/>
    <w:rsid w:val="00AD7B46"/>
    <w:rsid w:val="00AE0FC7"/>
    <w:rsid w:val="00AE2B18"/>
    <w:rsid w:val="00AE345B"/>
    <w:rsid w:val="00AE43E4"/>
    <w:rsid w:val="00AE4B70"/>
    <w:rsid w:val="00AE5A08"/>
    <w:rsid w:val="00AE6C40"/>
    <w:rsid w:val="00AE710A"/>
    <w:rsid w:val="00AF1782"/>
    <w:rsid w:val="00AF1EF8"/>
    <w:rsid w:val="00AF5596"/>
    <w:rsid w:val="00AF56DF"/>
    <w:rsid w:val="00B013D6"/>
    <w:rsid w:val="00B020E4"/>
    <w:rsid w:val="00B031E7"/>
    <w:rsid w:val="00B03749"/>
    <w:rsid w:val="00B0442A"/>
    <w:rsid w:val="00B055B1"/>
    <w:rsid w:val="00B0660D"/>
    <w:rsid w:val="00B06697"/>
    <w:rsid w:val="00B06935"/>
    <w:rsid w:val="00B137AA"/>
    <w:rsid w:val="00B14D49"/>
    <w:rsid w:val="00B15714"/>
    <w:rsid w:val="00B176C3"/>
    <w:rsid w:val="00B20E03"/>
    <w:rsid w:val="00B2537D"/>
    <w:rsid w:val="00B253A1"/>
    <w:rsid w:val="00B25DC3"/>
    <w:rsid w:val="00B262AB"/>
    <w:rsid w:val="00B27BA0"/>
    <w:rsid w:val="00B33CB7"/>
    <w:rsid w:val="00B352FA"/>
    <w:rsid w:val="00B36B5C"/>
    <w:rsid w:val="00B36D31"/>
    <w:rsid w:val="00B42CD6"/>
    <w:rsid w:val="00B43146"/>
    <w:rsid w:val="00B43A36"/>
    <w:rsid w:val="00B453DB"/>
    <w:rsid w:val="00B45AF4"/>
    <w:rsid w:val="00B46969"/>
    <w:rsid w:val="00B47A1D"/>
    <w:rsid w:val="00B52E0C"/>
    <w:rsid w:val="00B53AB9"/>
    <w:rsid w:val="00B56BDC"/>
    <w:rsid w:val="00B617CD"/>
    <w:rsid w:val="00B62188"/>
    <w:rsid w:val="00B63888"/>
    <w:rsid w:val="00B65FBF"/>
    <w:rsid w:val="00B66FC9"/>
    <w:rsid w:val="00B70181"/>
    <w:rsid w:val="00B724B8"/>
    <w:rsid w:val="00B76AF5"/>
    <w:rsid w:val="00B805E0"/>
    <w:rsid w:val="00B815EF"/>
    <w:rsid w:val="00B84005"/>
    <w:rsid w:val="00B847E6"/>
    <w:rsid w:val="00B90DEC"/>
    <w:rsid w:val="00B955FF"/>
    <w:rsid w:val="00B962CB"/>
    <w:rsid w:val="00B971A0"/>
    <w:rsid w:val="00BA3709"/>
    <w:rsid w:val="00BA3D17"/>
    <w:rsid w:val="00BA444A"/>
    <w:rsid w:val="00BA4D31"/>
    <w:rsid w:val="00BB0F87"/>
    <w:rsid w:val="00BB1A1B"/>
    <w:rsid w:val="00BB4A7A"/>
    <w:rsid w:val="00BB6048"/>
    <w:rsid w:val="00BB6CB3"/>
    <w:rsid w:val="00BB6DE6"/>
    <w:rsid w:val="00BB78EA"/>
    <w:rsid w:val="00BC0047"/>
    <w:rsid w:val="00BC0500"/>
    <w:rsid w:val="00BC254E"/>
    <w:rsid w:val="00BC266F"/>
    <w:rsid w:val="00BC6EAF"/>
    <w:rsid w:val="00BD1707"/>
    <w:rsid w:val="00BD524D"/>
    <w:rsid w:val="00BD5C8F"/>
    <w:rsid w:val="00BE062C"/>
    <w:rsid w:val="00BE0FFE"/>
    <w:rsid w:val="00BE48D2"/>
    <w:rsid w:val="00BE4DAB"/>
    <w:rsid w:val="00BE77B1"/>
    <w:rsid w:val="00BF2B2F"/>
    <w:rsid w:val="00BF35E7"/>
    <w:rsid w:val="00BF67EE"/>
    <w:rsid w:val="00BF6F8B"/>
    <w:rsid w:val="00C0398F"/>
    <w:rsid w:val="00C04DCF"/>
    <w:rsid w:val="00C04F0F"/>
    <w:rsid w:val="00C06177"/>
    <w:rsid w:val="00C06650"/>
    <w:rsid w:val="00C0705F"/>
    <w:rsid w:val="00C075EA"/>
    <w:rsid w:val="00C127B6"/>
    <w:rsid w:val="00C142FE"/>
    <w:rsid w:val="00C158DA"/>
    <w:rsid w:val="00C15D54"/>
    <w:rsid w:val="00C23990"/>
    <w:rsid w:val="00C25EC1"/>
    <w:rsid w:val="00C27BD7"/>
    <w:rsid w:val="00C32C13"/>
    <w:rsid w:val="00C34C43"/>
    <w:rsid w:val="00C374D2"/>
    <w:rsid w:val="00C37642"/>
    <w:rsid w:val="00C408B2"/>
    <w:rsid w:val="00C41BEB"/>
    <w:rsid w:val="00C47D85"/>
    <w:rsid w:val="00C50A26"/>
    <w:rsid w:val="00C5303A"/>
    <w:rsid w:val="00C54D62"/>
    <w:rsid w:val="00C61AC6"/>
    <w:rsid w:val="00C6239C"/>
    <w:rsid w:val="00C6520A"/>
    <w:rsid w:val="00C6544A"/>
    <w:rsid w:val="00C6732F"/>
    <w:rsid w:val="00C678F4"/>
    <w:rsid w:val="00C702C7"/>
    <w:rsid w:val="00C71B7A"/>
    <w:rsid w:val="00C7429C"/>
    <w:rsid w:val="00C762EB"/>
    <w:rsid w:val="00C77130"/>
    <w:rsid w:val="00C777DB"/>
    <w:rsid w:val="00C8058F"/>
    <w:rsid w:val="00C81A44"/>
    <w:rsid w:val="00C83677"/>
    <w:rsid w:val="00C83873"/>
    <w:rsid w:val="00C84D0C"/>
    <w:rsid w:val="00C84F87"/>
    <w:rsid w:val="00C86AAA"/>
    <w:rsid w:val="00C8703B"/>
    <w:rsid w:val="00C908C2"/>
    <w:rsid w:val="00C90E4C"/>
    <w:rsid w:val="00C91082"/>
    <w:rsid w:val="00C91F0E"/>
    <w:rsid w:val="00C94471"/>
    <w:rsid w:val="00C94731"/>
    <w:rsid w:val="00C955C8"/>
    <w:rsid w:val="00CA4047"/>
    <w:rsid w:val="00CA4E63"/>
    <w:rsid w:val="00CA5478"/>
    <w:rsid w:val="00CA5B05"/>
    <w:rsid w:val="00CA6306"/>
    <w:rsid w:val="00CA70E3"/>
    <w:rsid w:val="00CB1129"/>
    <w:rsid w:val="00CB6009"/>
    <w:rsid w:val="00CB78A3"/>
    <w:rsid w:val="00CC1282"/>
    <w:rsid w:val="00CC2A1A"/>
    <w:rsid w:val="00CC335C"/>
    <w:rsid w:val="00CC4E5C"/>
    <w:rsid w:val="00CC576D"/>
    <w:rsid w:val="00CC5E8F"/>
    <w:rsid w:val="00CD0CC8"/>
    <w:rsid w:val="00CD2646"/>
    <w:rsid w:val="00CD3B8B"/>
    <w:rsid w:val="00CD5842"/>
    <w:rsid w:val="00CE158E"/>
    <w:rsid w:val="00CE17DC"/>
    <w:rsid w:val="00CE1D9F"/>
    <w:rsid w:val="00CE2011"/>
    <w:rsid w:val="00CE2603"/>
    <w:rsid w:val="00CE519D"/>
    <w:rsid w:val="00CF026F"/>
    <w:rsid w:val="00CF3CA4"/>
    <w:rsid w:val="00CF421F"/>
    <w:rsid w:val="00CF546E"/>
    <w:rsid w:val="00CF6476"/>
    <w:rsid w:val="00CF7D1C"/>
    <w:rsid w:val="00CF7F7F"/>
    <w:rsid w:val="00D0023B"/>
    <w:rsid w:val="00D00946"/>
    <w:rsid w:val="00D00EFB"/>
    <w:rsid w:val="00D01239"/>
    <w:rsid w:val="00D04261"/>
    <w:rsid w:val="00D04944"/>
    <w:rsid w:val="00D06299"/>
    <w:rsid w:val="00D11AA2"/>
    <w:rsid w:val="00D15241"/>
    <w:rsid w:val="00D213AC"/>
    <w:rsid w:val="00D236E8"/>
    <w:rsid w:val="00D244F3"/>
    <w:rsid w:val="00D27976"/>
    <w:rsid w:val="00D27B73"/>
    <w:rsid w:val="00D329DF"/>
    <w:rsid w:val="00D32EF8"/>
    <w:rsid w:val="00D33A2B"/>
    <w:rsid w:val="00D35C72"/>
    <w:rsid w:val="00D36E73"/>
    <w:rsid w:val="00D40970"/>
    <w:rsid w:val="00D40CD4"/>
    <w:rsid w:val="00D4280C"/>
    <w:rsid w:val="00D43525"/>
    <w:rsid w:val="00D4594F"/>
    <w:rsid w:val="00D45DFB"/>
    <w:rsid w:val="00D45FA0"/>
    <w:rsid w:val="00D471D5"/>
    <w:rsid w:val="00D51EA9"/>
    <w:rsid w:val="00D5297D"/>
    <w:rsid w:val="00D52A6A"/>
    <w:rsid w:val="00D56016"/>
    <w:rsid w:val="00D57F2B"/>
    <w:rsid w:val="00D616D5"/>
    <w:rsid w:val="00D61DFC"/>
    <w:rsid w:val="00D70A16"/>
    <w:rsid w:val="00D71981"/>
    <w:rsid w:val="00D72759"/>
    <w:rsid w:val="00D72FF2"/>
    <w:rsid w:val="00D7343B"/>
    <w:rsid w:val="00D74E71"/>
    <w:rsid w:val="00D768FD"/>
    <w:rsid w:val="00D7732D"/>
    <w:rsid w:val="00D77818"/>
    <w:rsid w:val="00D80413"/>
    <w:rsid w:val="00D815D0"/>
    <w:rsid w:val="00D90513"/>
    <w:rsid w:val="00D96320"/>
    <w:rsid w:val="00DA15D9"/>
    <w:rsid w:val="00DA1962"/>
    <w:rsid w:val="00DA1E9F"/>
    <w:rsid w:val="00DA2F9C"/>
    <w:rsid w:val="00DA5B07"/>
    <w:rsid w:val="00DB05EC"/>
    <w:rsid w:val="00DB0CB1"/>
    <w:rsid w:val="00DB433A"/>
    <w:rsid w:val="00DB5A02"/>
    <w:rsid w:val="00DB5D79"/>
    <w:rsid w:val="00DB6C9C"/>
    <w:rsid w:val="00DC4D91"/>
    <w:rsid w:val="00DC63EE"/>
    <w:rsid w:val="00DC65D0"/>
    <w:rsid w:val="00DD3BA6"/>
    <w:rsid w:val="00DD5A1B"/>
    <w:rsid w:val="00DD715C"/>
    <w:rsid w:val="00DE068A"/>
    <w:rsid w:val="00DE18BC"/>
    <w:rsid w:val="00DE4C45"/>
    <w:rsid w:val="00DF3B47"/>
    <w:rsid w:val="00DF4B62"/>
    <w:rsid w:val="00E01D0C"/>
    <w:rsid w:val="00E02D0E"/>
    <w:rsid w:val="00E04930"/>
    <w:rsid w:val="00E0517E"/>
    <w:rsid w:val="00E05340"/>
    <w:rsid w:val="00E065D1"/>
    <w:rsid w:val="00E07EBB"/>
    <w:rsid w:val="00E102B8"/>
    <w:rsid w:val="00E13F3D"/>
    <w:rsid w:val="00E15897"/>
    <w:rsid w:val="00E15DEF"/>
    <w:rsid w:val="00E15E9E"/>
    <w:rsid w:val="00E163C9"/>
    <w:rsid w:val="00E1664C"/>
    <w:rsid w:val="00E219A7"/>
    <w:rsid w:val="00E26113"/>
    <w:rsid w:val="00E266A4"/>
    <w:rsid w:val="00E30124"/>
    <w:rsid w:val="00E304B7"/>
    <w:rsid w:val="00E35306"/>
    <w:rsid w:val="00E35847"/>
    <w:rsid w:val="00E36C7A"/>
    <w:rsid w:val="00E4134A"/>
    <w:rsid w:val="00E423A7"/>
    <w:rsid w:val="00E4362E"/>
    <w:rsid w:val="00E50B63"/>
    <w:rsid w:val="00E51605"/>
    <w:rsid w:val="00E52CB6"/>
    <w:rsid w:val="00E54BEF"/>
    <w:rsid w:val="00E56993"/>
    <w:rsid w:val="00E56B70"/>
    <w:rsid w:val="00E56F4A"/>
    <w:rsid w:val="00E61618"/>
    <w:rsid w:val="00E624DB"/>
    <w:rsid w:val="00E643B1"/>
    <w:rsid w:val="00E72D9A"/>
    <w:rsid w:val="00E74ECC"/>
    <w:rsid w:val="00E756D9"/>
    <w:rsid w:val="00E7797E"/>
    <w:rsid w:val="00E8226D"/>
    <w:rsid w:val="00E82807"/>
    <w:rsid w:val="00E83B2D"/>
    <w:rsid w:val="00E84947"/>
    <w:rsid w:val="00E851A3"/>
    <w:rsid w:val="00E8530F"/>
    <w:rsid w:val="00E87432"/>
    <w:rsid w:val="00E90120"/>
    <w:rsid w:val="00E943B8"/>
    <w:rsid w:val="00E94C20"/>
    <w:rsid w:val="00E94E2C"/>
    <w:rsid w:val="00EA3645"/>
    <w:rsid w:val="00EA695E"/>
    <w:rsid w:val="00EB209E"/>
    <w:rsid w:val="00EB5CD1"/>
    <w:rsid w:val="00EC5AF5"/>
    <w:rsid w:val="00EC6CC9"/>
    <w:rsid w:val="00ED062C"/>
    <w:rsid w:val="00ED1244"/>
    <w:rsid w:val="00ED196C"/>
    <w:rsid w:val="00ED5C5E"/>
    <w:rsid w:val="00ED5CDE"/>
    <w:rsid w:val="00ED5DBC"/>
    <w:rsid w:val="00EE16D4"/>
    <w:rsid w:val="00EE2C87"/>
    <w:rsid w:val="00EE3319"/>
    <w:rsid w:val="00EE61A2"/>
    <w:rsid w:val="00EF0925"/>
    <w:rsid w:val="00EF4086"/>
    <w:rsid w:val="00EF6A4F"/>
    <w:rsid w:val="00F008E4"/>
    <w:rsid w:val="00F00C27"/>
    <w:rsid w:val="00F01406"/>
    <w:rsid w:val="00F045B9"/>
    <w:rsid w:val="00F0563F"/>
    <w:rsid w:val="00F1193A"/>
    <w:rsid w:val="00F13D35"/>
    <w:rsid w:val="00F1518C"/>
    <w:rsid w:val="00F15F5C"/>
    <w:rsid w:val="00F20955"/>
    <w:rsid w:val="00F22E8D"/>
    <w:rsid w:val="00F23266"/>
    <w:rsid w:val="00F23E1E"/>
    <w:rsid w:val="00F246BE"/>
    <w:rsid w:val="00F3081C"/>
    <w:rsid w:val="00F30F76"/>
    <w:rsid w:val="00F408C6"/>
    <w:rsid w:val="00F40CDB"/>
    <w:rsid w:val="00F42E69"/>
    <w:rsid w:val="00F44216"/>
    <w:rsid w:val="00F4486A"/>
    <w:rsid w:val="00F448EC"/>
    <w:rsid w:val="00F452AA"/>
    <w:rsid w:val="00F46657"/>
    <w:rsid w:val="00F468DF"/>
    <w:rsid w:val="00F47B28"/>
    <w:rsid w:val="00F50086"/>
    <w:rsid w:val="00F506EF"/>
    <w:rsid w:val="00F50CE1"/>
    <w:rsid w:val="00F5140D"/>
    <w:rsid w:val="00F52A5F"/>
    <w:rsid w:val="00F5342F"/>
    <w:rsid w:val="00F54906"/>
    <w:rsid w:val="00F565A3"/>
    <w:rsid w:val="00F60CC0"/>
    <w:rsid w:val="00F61380"/>
    <w:rsid w:val="00F6252D"/>
    <w:rsid w:val="00F63702"/>
    <w:rsid w:val="00F63B43"/>
    <w:rsid w:val="00F64334"/>
    <w:rsid w:val="00F64775"/>
    <w:rsid w:val="00F70770"/>
    <w:rsid w:val="00F71741"/>
    <w:rsid w:val="00F722D5"/>
    <w:rsid w:val="00F72F9B"/>
    <w:rsid w:val="00F72FF8"/>
    <w:rsid w:val="00F7435C"/>
    <w:rsid w:val="00F74707"/>
    <w:rsid w:val="00F758BD"/>
    <w:rsid w:val="00F8051C"/>
    <w:rsid w:val="00F83436"/>
    <w:rsid w:val="00F842E0"/>
    <w:rsid w:val="00F84896"/>
    <w:rsid w:val="00F84FB1"/>
    <w:rsid w:val="00F8683C"/>
    <w:rsid w:val="00F9119D"/>
    <w:rsid w:val="00F973D7"/>
    <w:rsid w:val="00F9754D"/>
    <w:rsid w:val="00F977A8"/>
    <w:rsid w:val="00FA5273"/>
    <w:rsid w:val="00FA6ABC"/>
    <w:rsid w:val="00FA6EA8"/>
    <w:rsid w:val="00FA6EC4"/>
    <w:rsid w:val="00FB0CB7"/>
    <w:rsid w:val="00FB1C38"/>
    <w:rsid w:val="00FB25C1"/>
    <w:rsid w:val="00FB6C38"/>
    <w:rsid w:val="00FC0183"/>
    <w:rsid w:val="00FC1D43"/>
    <w:rsid w:val="00FC2104"/>
    <w:rsid w:val="00FC2B0D"/>
    <w:rsid w:val="00FC3A87"/>
    <w:rsid w:val="00FC5666"/>
    <w:rsid w:val="00FC5C06"/>
    <w:rsid w:val="00FD1B3F"/>
    <w:rsid w:val="00FD4E62"/>
    <w:rsid w:val="00FD505C"/>
    <w:rsid w:val="00FD5421"/>
    <w:rsid w:val="00FE4A44"/>
    <w:rsid w:val="00FE7E6F"/>
    <w:rsid w:val="00FF0F52"/>
    <w:rsid w:val="00FF12A7"/>
    <w:rsid w:val="00FF1E8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2" w:unhideWhenUsed="0"/>
    <w:lsdException w:name="index 3" w:unhideWhenUsed="0"/>
    <w:lsdException w:name="index 4" w:unhideWhenUsed="0"/>
    <w:lsdException w:name="index 5" w:unhideWhenUsed="0"/>
    <w:lsdException w:name="index 6"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lsdException w:name="footer" w:semiHidden="0"/>
    <w:lsdException w:name="caption" w:semiHidden="0" w:uiPriority="35" w:qFormat="1"/>
    <w:lsdException w:name="footnote reference" w:semiHidden="0"/>
    <w:lsdException w:name="List Bullet" w:semiHidden="0" w:qFormat="1"/>
    <w:lsdException w:name="List Number" w:semiHidden="0" w:qFormat="1"/>
    <w:lsdException w:name="List Bullet 2" w:semiHidden="0" w:qFormat="1"/>
    <w:lsdException w:name="List Number 2" w:semiHidden="0" w:qFormat="1"/>
    <w:lsdException w:name="List Number 5" w:unhideWhenUsed="0"/>
    <w:lsdException w:name="Title" w:semiHidden="0" w:uiPriority="10" w:unhideWhenUsed="0" w:qFormat="1"/>
    <w:lsdException w:name="Default Paragraph Font" w:uiPriority="1"/>
    <w:lsdException w:name="Subtitle" w:semiHidden="0" w:uiPriority="11" w:unhideWhenUsed="0" w:qFormat="1"/>
    <w:lsdException w:name="Body Text Indent 3" w:unhideWhenUsed="0"/>
    <w:lsdException w:name="Block Text"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741"/>
    <w:pPr>
      <w:spacing w:after="240" w:line="240" w:lineRule="atLeast"/>
    </w:pPr>
    <w:rPr>
      <w:sz w:val="18"/>
      <w:lang w:val="en-US"/>
    </w:rPr>
  </w:style>
  <w:style w:type="paragraph" w:styleId="Heading1">
    <w:name w:val="heading 1"/>
    <w:basedOn w:val="Normal"/>
    <w:next w:val="Normal"/>
    <w:link w:val="Heading1Char"/>
    <w:uiPriority w:val="9"/>
    <w:qFormat/>
    <w:rsid w:val="007550AB"/>
    <w:pPr>
      <w:keepNext/>
      <w:keepLines/>
      <w:spacing w:after="0"/>
      <w:outlineLvl w:val="0"/>
    </w:pPr>
    <w:rPr>
      <w:rFonts w:asciiTheme="majorHAnsi" w:eastAsiaTheme="majorEastAsia" w:hAnsiTheme="majorHAnsi" w:cstheme="majorBidi"/>
      <w:b/>
      <w:bCs/>
      <w:color w:val="62B5E5" w:themeColor="accent3"/>
      <w:szCs w:val="28"/>
    </w:rPr>
  </w:style>
  <w:style w:type="paragraph" w:styleId="Heading2">
    <w:name w:val="heading 2"/>
    <w:basedOn w:val="Normal"/>
    <w:next w:val="Normal"/>
    <w:link w:val="Heading2Char"/>
    <w:uiPriority w:val="9"/>
    <w:qFormat/>
    <w:rsid w:val="00380613"/>
    <w:pPr>
      <w:keepNext/>
      <w:keepLines/>
      <w:spacing w:after="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qFormat/>
    <w:rsid w:val="00380613"/>
    <w:pPr>
      <w:keepNext/>
      <w:keepLines/>
      <w:spacing w:after="0"/>
      <w:outlineLvl w:val="2"/>
    </w:pPr>
    <w:rPr>
      <w:rFonts w:asciiTheme="majorHAnsi" w:eastAsiaTheme="majorEastAsia" w:hAnsiTheme="majorHAnsi" w:cstheme="majorBidi"/>
      <w:b/>
      <w:bCs/>
      <w:color w:val="75787B" w:themeColor="accent6"/>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0AB"/>
    <w:rPr>
      <w:rFonts w:asciiTheme="majorHAnsi" w:eastAsiaTheme="majorEastAsia" w:hAnsiTheme="majorHAnsi" w:cstheme="majorBidi"/>
      <w:b/>
      <w:bCs/>
      <w:color w:val="62B5E5" w:themeColor="accent3"/>
      <w:sz w:val="18"/>
      <w:szCs w:val="28"/>
      <w:lang w:val="en-US"/>
    </w:rPr>
  </w:style>
  <w:style w:type="character" w:customStyle="1" w:styleId="Heading2Char">
    <w:name w:val="Heading 2 Char"/>
    <w:basedOn w:val="DefaultParagraphFont"/>
    <w:link w:val="Heading2"/>
    <w:uiPriority w:val="9"/>
    <w:rsid w:val="00380613"/>
    <w:rPr>
      <w:rFonts w:asciiTheme="majorHAnsi" w:eastAsiaTheme="majorEastAsia" w:hAnsiTheme="majorHAnsi" w:cstheme="majorBidi"/>
      <w:b/>
      <w:bCs/>
      <w:color w:val="000000" w:themeColor="text1"/>
      <w:sz w:val="18"/>
      <w:szCs w:val="26"/>
      <w:lang w:val="en-US"/>
    </w:rPr>
  </w:style>
  <w:style w:type="table" w:styleId="TableGrid">
    <w:name w:val="Table Grid"/>
    <w:basedOn w:val="TableNormal"/>
    <w:uiPriority w:val="59"/>
    <w:rsid w:val="001E016B"/>
    <w:pPr>
      <w:spacing w:after="0" w:line="240" w:lineRule="auto"/>
    </w:pPr>
    <w:tblPr>
      <w:tblInd w:w="0" w:type="dxa"/>
      <w:tblCellMar>
        <w:top w:w="0" w:type="dxa"/>
        <w:left w:w="0" w:type="dxa"/>
        <w:bottom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99"/>
    <w:rsid w:val="008631CE"/>
    <w:pPr>
      <w:tabs>
        <w:tab w:val="center" w:pos="4513"/>
        <w:tab w:val="right" w:pos="9026"/>
      </w:tabs>
      <w:spacing w:after="0" w:line="240" w:lineRule="auto"/>
    </w:pPr>
    <w:rPr>
      <w:b/>
      <w:sz w:val="14"/>
      <w:lang w:val="en-US"/>
    </w:rPr>
  </w:style>
  <w:style w:type="character" w:customStyle="1" w:styleId="HeaderChar">
    <w:name w:val="Header Char"/>
    <w:basedOn w:val="DefaultParagraphFont"/>
    <w:link w:val="Header"/>
    <w:uiPriority w:val="99"/>
    <w:rsid w:val="008631CE"/>
    <w:rPr>
      <w:b/>
      <w:sz w:val="14"/>
      <w:lang w:val="en-US"/>
    </w:rPr>
  </w:style>
  <w:style w:type="paragraph" w:styleId="Footer">
    <w:name w:val="footer"/>
    <w:basedOn w:val="Normal"/>
    <w:link w:val="FooterChar"/>
    <w:uiPriority w:val="99"/>
    <w:rsid w:val="001975EF"/>
    <w:pPr>
      <w:tabs>
        <w:tab w:val="right" w:pos="7371"/>
      </w:tabs>
      <w:spacing w:after="0" w:line="200" w:lineRule="atLeast"/>
    </w:pPr>
    <w:rPr>
      <w:sz w:val="16"/>
    </w:rPr>
  </w:style>
  <w:style w:type="character" w:customStyle="1" w:styleId="FooterChar">
    <w:name w:val="Footer Char"/>
    <w:basedOn w:val="DefaultParagraphFont"/>
    <w:link w:val="Footer"/>
    <w:uiPriority w:val="99"/>
    <w:rsid w:val="007550AB"/>
    <w:rPr>
      <w:sz w:val="16"/>
      <w:lang w:val="en-US"/>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544D24"/>
    <w:pPr>
      <w:numPr>
        <w:numId w:val="1"/>
      </w:numPr>
      <w:tabs>
        <w:tab w:val="clear" w:pos="360"/>
      </w:tabs>
      <w:spacing w:after="0"/>
      <w:ind w:left="284" w:hanging="284"/>
      <w:contextualSpacing/>
    </w:pPr>
  </w:style>
  <w:style w:type="paragraph" w:styleId="ListBullet2">
    <w:name w:val="List Bullet 2"/>
    <w:basedOn w:val="Normal"/>
    <w:uiPriority w:val="99"/>
    <w:qFormat/>
    <w:rsid w:val="002B4D02"/>
    <w:pPr>
      <w:numPr>
        <w:numId w:val="2"/>
      </w:numPr>
      <w:ind w:left="568" w:hanging="284"/>
      <w:contextualSpacing/>
    </w:pPr>
  </w:style>
  <w:style w:type="paragraph" w:styleId="ListNumber">
    <w:name w:val="List Number"/>
    <w:basedOn w:val="Normal"/>
    <w:uiPriority w:val="99"/>
    <w:qFormat/>
    <w:rsid w:val="00544D24"/>
    <w:pPr>
      <w:numPr>
        <w:numId w:val="3"/>
      </w:numPr>
      <w:tabs>
        <w:tab w:val="clear" w:pos="360"/>
      </w:tabs>
      <w:spacing w:after="0"/>
      <w:ind w:left="284" w:hanging="284"/>
      <w:contextualSpacing/>
    </w:pPr>
  </w:style>
  <w:style w:type="paragraph" w:styleId="ListNumber2">
    <w:name w:val="List Number 2"/>
    <w:basedOn w:val="Normal"/>
    <w:uiPriority w:val="99"/>
    <w:qFormat/>
    <w:rsid w:val="00D35C72"/>
    <w:pPr>
      <w:numPr>
        <w:numId w:val="4"/>
      </w:numPr>
      <w:ind w:left="568" w:hanging="284"/>
      <w:contextualSpacing/>
    </w:pPr>
  </w:style>
  <w:style w:type="character" w:customStyle="1" w:styleId="Heading3Char">
    <w:name w:val="Heading 3 Char"/>
    <w:basedOn w:val="DefaultParagraphFont"/>
    <w:link w:val="Heading3"/>
    <w:uiPriority w:val="9"/>
    <w:rsid w:val="00380613"/>
    <w:rPr>
      <w:rFonts w:asciiTheme="majorHAnsi" w:eastAsiaTheme="majorEastAsia" w:hAnsiTheme="majorHAnsi" w:cstheme="majorBidi"/>
      <w:b/>
      <w:bCs/>
      <w:color w:val="75787B" w:themeColor="accent6"/>
      <w:sz w:val="18"/>
      <w:lang w:val="en-US"/>
    </w:rPr>
  </w:style>
  <w:style w:type="character" w:customStyle="1" w:styleId="Heading4Char">
    <w:name w:val="Heading 4 Char"/>
    <w:basedOn w:val="DefaultParagraphFont"/>
    <w:link w:val="Heading4"/>
    <w:uiPriority w:val="9"/>
    <w:semiHidden/>
    <w:rsid w:val="007550AB"/>
    <w:rPr>
      <w:rFonts w:asciiTheme="majorHAnsi" w:eastAsiaTheme="majorEastAsia" w:hAnsiTheme="majorHAnsi" w:cstheme="majorBidi"/>
      <w:b/>
      <w:bCs/>
      <w:iCs/>
      <w:color w:val="000000" w:themeColor="text1"/>
      <w:sz w:val="18"/>
      <w:lang w:val="en-US"/>
    </w:rPr>
  </w:style>
  <w:style w:type="paragraph" w:styleId="FootnoteText">
    <w:name w:val="footnote text"/>
    <w:basedOn w:val="Normal"/>
    <w:link w:val="FootnoteTextChar"/>
    <w:uiPriority w:val="99"/>
    <w:rsid w:val="00F3081C"/>
    <w:pPr>
      <w:spacing w:after="0" w:line="240" w:lineRule="auto"/>
    </w:pPr>
    <w:rPr>
      <w:sz w:val="16"/>
      <w:szCs w:val="20"/>
    </w:rPr>
  </w:style>
  <w:style w:type="character" w:customStyle="1" w:styleId="FootnoteTextChar">
    <w:name w:val="Footnote Text Char"/>
    <w:basedOn w:val="DefaultParagraphFont"/>
    <w:link w:val="FootnoteText"/>
    <w:uiPriority w:val="99"/>
    <w:rsid w:val="007550AB"/>
    <w:rPr>
      <w:sz w:val="16"/>
      <w:szCs w:val="20"/>
      <w:lang w:val="en-US"/>
    </w:rPr>
  </w:style>
  <w:style w:type="paragraph" w:customStyle="1" w:styleId="Documenttitle">
    <w:name w:val="Document title"/>
    <w:next w:val="Documentsubtitle"/>
    <w:qFormat/>
    <w:rsid w:val="00A7281A"/>
    <w:pPr>
      <w:spacing w:after="0" w:line="440" w:lineRule="atLeast"/>
    </w:pPr>
    <w:rPr>
      <w:rFonts w:asciiTheme="majorHAnsi" w:eastAsiaTheme="majorEastAsia" w:hAnsiTheme="majorHAnsi" w:cstheme="majorBidi"/>
      <w:b/>
      <w:bCs/>
      <w:color w:val="000000" w:themeColor="text1"/>
      <w:sz w:val="36"/>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paragraph" w:customStyle="1" w:styleId="Sectionintro">
    <w:name w:val="Section intro"/>
    <w:basedOn w:val="Normal"/>
    <w:next w:val="Normal"/>
    <w:qFormat/>
    <w:rsid w:val="00212852"/>
    <w:pPr>
      <w:spacing w:line="360" w:lineRule="atLeast"/>
    </w:pPr>
    <w:rPr>
      <w:sz w:val="28"/>
    </w:rPr>
  </w:style>
  <w:style w:type="paragraph" w:customStyle="1" w:styleId="Documentdate">
    <w:name w:val="Document date"/>
    <w:qFormat/>
    <w:rsid w:val="007550AB"/>
    <w:pPr>
      <w:spacing w:after="0" w:line="240" w:lineRule="atLeast"/>
    </w:pPr>
    <w:rPr>
      <w:sz w:val="18"/>
      <w:lang w:val="en-US"/>
    </w:rPr>
  </w:style>
  <w:style w:type="paragraph" w:customStyle="1" w:styleId="Sectiontitle">
    <w:name w:val="Section title"/>
    <w:basedOn w:val="Normal"/>
    <w:next w:val="Normal"/>
    <w:qFormat/>
    <w:rsid w:val="00EE61A2"/>
    <w:pPr>
      <w:spacing w:after="480" w:line="720" w:lineRule="atLeast"/>
    </w:pPr>
    <w:rPr>
      <w:sz w:val="60"/>
    </w:rPr>
  </w:style>
  <w:style w:type="paragraph" w:customStyle="1" w:styleId="PulloutBlue">
    <w:name w:val="Pullout Blue"/>
    <w:basedOn w:val="Normal"/>
    <w:next w:val="Normal"/>
    <w:qFormat/>
    <w:rsid w:val="00DD5A1B"/>
    <w:pPr>
      <w:spacing w:line="360" w:lineRule="atLeast"/>
    </w:pPr>
    <w:rPr>
      <w:color w:val="62B5E5" w:themeColor="accent3"/>
      <w:sz w:val="28"/>
    </w:rPr>
  </w:style>
  <w:style w:type="paragraph" w:customStyle="1" w:styleId="Contacttext">
    <w:name w:val="Contact text"/>
    <w:basedOn w:val="Normal"/>
    <w:qFormat/>
    <w:rsid w:val="00D7732D"/>
    <w:pPr>
      <w:spacing w:after="0"/>
    </w:pPr>
  </w:style>
  <w:style w:type="paragraph" w:customStyle="1" w:styleId="Contactus">
    <w:name w:val="Contact us"/>
    <w:basedOn w:val="Contacttext"/>
    <w:next w:val="Contacttext"/>
    <w:qFormat/>
    <w:rsid w:val="00D7732D"/>
    <w:pPr>
      <w:spacing w:after="240" w:line="340" w:lineRule="atLeast"/>
    </w:pPr>
    <w:rPr>
      <w:sz w:val="28"/>
    </w:rPr>
  </w:style>
  <w:style w:type="paragraph" w:styleId="Caption">
    <w:name w:val="caption"/>
    <w:basedOn w:val="Normal"/>
    <w:next w:val="Normal"/>
    <w:uiPriority w:val="35"/>
    <w:qFormat/>
    <w:rsid w:val="00B46969"/>
    <w:pPr>
      <w:keepNext/>
      <w:spacing w:line="240" w:lineRule="auto"/>
    </w:pPr>
    <w:rPr>
      <w:iCs/>
      <w:color w:val="75787B" w:themeColor="accent6"/>
      <w:sz w:val="17"/>
      <w:szCs w:val="18"/>
    </w:rPr>
  </w:style>
  <w:style w:type="character" w:styleId="Hyperlink">
    <w:name w:val="Hyperlink"/>
    <w:basedOn w:val="DefaultParagraphFont"/>
    <w:uiPriority w:val="99"/>
    <w:unhideWhenUsed/>
    <w:rsid w:val="00E94C20"/>
    <w:rPr>
      <w:color w:val="00A3E0" w:themeColor="hyperlink"/>
      <w:u w:val="single"/>
    </w:rPr>
  </w:style>
  <w:style w:type="paragraph" w:customStyle="1" w:styleId="PulloutGreen">
    <w:name w:val="Pullout Green"/>
    <w:basedOn w:val="PulloutBlue"/>
    <w:next w:val="Normal"/>
    <w:qFormat/>
    <w:rsid w:val="00822995"/>
    <w:rPr>
      <w:color w:val="86BC25" w:themeColor="accent1"/>
    </w:rPr>
  </w:style>
  <w:style w:type="paragraph" w:customStyle="1" w:styleId="QuotesourceBlue">
    <w:name w:val="Quote source Blue"/>
    <w:basedOn w:val="Normal"/>
    <w:next w:val="Normal"/>
    <w:qFormat/>
    <w:rsid w:val="000516C4"/>
    <w:pPr>
      <w:spacing w:line="200" w:lineRule="atLeast"/>
      <w:contextualSpacing/>
    </w:pPr>
    <w:rPr>
      <w:b/>
      <w:color w:val="62B5E5" w:themeColor="accent3"/>
      <w:sz w:val="17"/>
    </w:rPr>
  </w:style>
  <w:style w:type="paragraph" w:customStyle="1" w:styleId="QuotesourceGreen">
    <w:name w:val="Quote source Green"/>
    <w:basedOn w:val="QuotesourceBlue"/>
    <w:next w:val="Normal"/>
    <w:qFormat/>
    <w:rsid w:val="000516C4"/>
    <w:rPr>
      <w:color w:val="86BC25" w:themeColor="accent1"/>
    </w:rPr>
  </w:style>
  <w:style w:type="paragraph" w:customStyle="1" w:styleId="Paneltext">
    <w:name w:val="Panel text"/>
    <w:basedOn w:val="Normal"/>
    <w:qFormat/>
    <w:rsid w:val="00AE0FC7"/>
    <w:rPr>
      <w:color w:val="FFFFFF" w:themeColor="background1"/>
      <w:sz w:val="17"/>
    </w:rPr>
  </w:style>
  <w:style w:type="paragraph" w:customStyle="1" w:styleId="Paneltitle">
    <w:name w:val="Panel title"/>
    <w:basedOn w:val="Paneltext"/>
    <w:next w:val="Paneltext"/>
    <w:qFormat/>
    <w:rsid w:val="00D0023B"/>
    <w:pPr>
      <w:spacing w:line="360" w:lineRule="atLeast"/>
    </w:pPr>
    <w:rPr>
      <w:b/>
      <w:sz w:val="28"/>
    </w:rPr>
  </w:style>
  <w:style w:type="paragraph" w:customStyle="1" w:styleId="Formoreinfocalloutwhite8512ptPullOutStyles">
    <w:name w:val="For more info call out (white 8.5/12pt) (Pull Out Styles)"/>
    <w:basedOn w:val="Normal"/>
    <w:uiPriority w:val="99"/>
    <w:rsid w:val="00AE0FC7"/>
    <w:pPr>
      <w:tabs>
        <w:tab w:val="left" w:pos="283"/>
        <w:tab w:val="left" w:pos="567"/>
      </w:tabs>
      <w:suppressAutoHyphens/>
      <w:autoSpaceDE w:val="0"/>
      <w:autoSpaceDN w:val="0"/>
      <w:adjustRightInd w:val="0"/>
      <w:spacing w:after="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qFormat/>
    <w:rsid w:val="006528C9"/>
    <w:pPr>
      <w:spacing w:after="120" w:line="440" w:lineRule="atLeast"/>
    </w:pPr>
    <w:rPr>
      <w:sz w:val="36"/>
    </w:rPr>
  </w:style>
  <w:style w:type="paragraph" w:customStyle="1" w:styleId="Contentstitle">
    <w:name w:val="Contents title"/>
    <w:basedOn w:val="Sectiontitle"/>
    <w:next w:val="Normal"/>
    <w:qFormat/>
    <w:rsid w:val="00244010"/>
  </w:style>
  <w:style w:type="paragraph" w:styleId="TOC1">
    <w:name w:val="toc 1"/>
    <w:basedOn w:val="Normal"/>
    <w:next w:val="Normal"/>
    <w:autoRedefine/>
    <w:uiPriority w:val="39"/>
    <w:rsid w:val="000B6C05"/>
    <w:pPr>
      <w:tabs>
        <w:tab w:val="right" w:pos="6935"/>
      </w:tabs>
      <w:spacing w:after="120" w:line="360" w:lineRule="atLeast"/>
    </w:pPr>
    <w:rPr>
      <w:sz w:val="28"/>
    </w:rPr>
  </w:style>
  <w:style w:type="paragraph" w:customStyle="1" w:styleId="Quotetext">
    <w:name w:val="Quote text"/>
    <w:basedOn w:val="PulloutBlue"/>
    <w:qFormat/>
    <w:rsid w:val="003E49BA"/>
    <w:pPr>
      <w:spacing w:after="0" w:line="720" w:lineRule="atLeast"/>
    </w:pPr>
    <w:rPr>
      <w:color w:val="FFFFFF" w:themeColor="background1"/>
      <w:sz w:val="60"/>
    </w:rPr>
  </w:style>
  <w:style w:type="paragraph" w:customStyle="1" w:styleId="Legaltext">
    <w:name w:val="Legal text"/>
    <w:basedOn w:val="Normal"/>
    <w:qFormat/>
    <w:rsid w:val="00BF6F8B"/>
    <w:pPr>
      <w:spacing w:after="0" w:line="180" w:lineRule="atLeast"/>
      <w:ind w:right="5387"/>
    </w:pPr>
    <w:rPr>
      <w:sz w:val="14"/>
    </w:rPr>
  </w:style>
  <w:style w:type="table" w:customStyle="1" w:styleId="Deloittetable">
    <w:name w:val="Deloitte table"/>
    <w:basedOn w:val="TableNormal"/>
    <w:uiPriority w:val="99"/>
    <w:rsid w:val="003B3379"/>
    <w:pPr>
      <w:spacing w:after="0" w:line="240" w:lineRule="auto"/>
    </w:pPr>
    <w:rPr>
      <w:sz w:val="17"/>
    </w:rPr>
    <w:tblPr>
      <w:tblInd w:w="0" w:type="dxa"/>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
    <w:name w:val="Table text"/>
    <w:basedOn w:val="Normal"/>
    <w:qFormat/>
    <w:rsid w:val="004D1F57"/>
    <w:pPr>
      <w:spacing w:after="0" w:line="200" w:lineRule="atLeast"/>
    </w:pPr>
    <w:rPr>
      <w:sz w:val="17"/>
    </w:rPr>
  </w:style>
  <w:style w:type="paragraph" w:customStyle="1" w:styleId="Tabletitle">
    <w:name w:val="Table title"/>
    <w:basedOn w:val="Tabletext"/>
    <w:qFormat/>
    <w:rsid w:val="004D1F57"/>
    <w:rPr>
      <w:b/>
      <w:color w:val="62B5E5" w:themeColor="accent3"/>
    </w:rPr>
  </w:style>
  <w:style w:type="paragraph" w:customStyle="1" w:styleId="SourcetextTableorChart">
    <w:name w:val="Source text Table or Chart"/>
    <w:basedOn w:val="Caption"/>
    <w:next w:val="Normal"/>
    <w:qFormat/>
    <w:rsid w:val="003B3379"/>
    <w:pPr>
      <w:spacing w:before="120"/>
    </w:pPr>
    <w:rPr>
      <w:sz w:val="14"/>
    </w:rPr>
  </w:style>
  <w:style w:type="paragraph" w:customStyle="1" w:styleId="Tablebullets">
    <w:name w:val="Table bullets"/>
    <w:basedOn w:val="Tabletext"/>
    <w:qFormat/>
    <w:rsid w:val="00AD6475"/>
    <w:pPr>
      <w:numPr>
        <w:numId w:val="5"/>
      </w:numPr>
      <w:ind w:left="284" w:hanging="284"/>
    </w:pPr>
  </w:style>
  <w:style w:type="paragraph" w:customStyle="1" w:styleId="Tablenumbered">
    <w:name w:val="Table numbered"/>
    <w:basedOn w:val="Tablebullets"/>
    <w:qFormat/>
    <w:rsid w:val="00AD6475"/>
    <w:pPr>
      <w:numPr>
        <w:numId w:val="6"/>
      </w:numPr>
      <w:ind w:left="284" w:hanging="284"/>
    </w:pPr>
  </w:style>
  <w:style w:type="paragraph" w:customStyle="1" w:styleId="Charttitle">
    <w:name w:val="Chart title"/>
    <w:basedOn w:val="Heading2"/>
    <w:qFormat/>
    <w:rsid w:val="00B66FC9"/>
  </w:style>
  <w:style w:type="paragraph" w:customStyle="1" w:styleId="Sectiontitle-numbered">
    <w:name w:val="Section title - numbered"/>
    <w:basedOn w:val="Normal"/>
    <w:next w:val="Normal"/>
    <w:qFormat/>
    <w:rsid w:val="00147BD7"/>
    <w:pPr>
      <w:pageBreakBefore/>
      <w:numPr>
        <w:numId w:val="8"/>
      </w:numPr>
      <w:spacing w:after="480" w:line="720" w:lineRule="atLeast"/>
      <w:ind w:left="851" w:hanging="851"/>
    </w:pPr>
    <w:rPr>
      <w:rFonts w:eastAsia="Times" w:cs="Times New Roman"/>
      <w:bCs/>
      <w:color w:val="000000" w:themeColor="text1"/>
      <w:kern w:val="32"/>
      <w:sz w:val="60"/>
      <w:szCs w:val="60"/>
      <w:lang w:val="en-NZ" w:bidi="en-US"/>
    </w:rPr>
  </w:style>
  <w:style w:type="paragraph" w:customStyle="1" w:styleId="Heading1BlueNumbered">
    <w:name w:val="Heading 1 Blue (Numbered)"/>
    <w:basedOn w:val="Normal"/>
    <w:next w:val="Normal"/>
    <w:link w:val="Heading1BlueNumberedChar"/>
    <w:qFormat/>
    <w:rsid w:val="00AE4B70"/>
    <w:pPr>
      <w:keepNext/>
      <w:keepLines/>
      <w:numPr>
        <w:ilvl w:val="1"/>
        <w:numId w:val="8"/>
      </w:numPr>
      <w:spacing w:after="0" w:line="240" w:lineRule="auto"/>
      <w:outlineLvl w:val="1"/>
    </w:pPr>
    <w:rPr>
      <w:rFonts w:asciiTheme="majorHAnsi" w:eastAsia="Times" w:hAnsiTheme="majorHAnsi" w:cs="Times New Roman"/>
      <w:b/>
      <w:color w:val="62B5E5" w:themeColor="accent3"/>
      <w:szCs w:val="24"/>
      <w:lang w:val="en-NZ"/>
    </w:rPr>
  </w:style>
  <w:style w:type="paragraph" w:customStyle="1" w:styleId="Heading2BlackNumbered">
    <w:name w:val="Heading 2 Black (Numbered)"/>
    <w:basedOn w:val="Normal"/>
    <w:next w:val="Normal"/>
    <w:link w:val="Heading2BlackNumberedChar"/>
    <w:qFormat/>
    <w:rsid w:val="00AE4B70"/>
    <w:pPr>
      <w:keepNext/>
      <w:keepLines/>
      <w:numPr>
        <w:ilvl w:val="2"/>
        <w:numId w:val="8"/>
      </w:numPr>
      <w:spacing w:after="0"/>
      <w:outlineLvl w:val="2"/>
    </w:pPr>
    <w:rPr>
      <w:rFonts w:asciiTheme="majorHAnsi" w:eastAsia="Times" w:hAnsiTheme="majorHAnsi" w:cs="Times New Roman"/>
      <w:b/>
      <w:szCs w:val="24"/>
      <w:lang w:val="en-NZ"/>
    </w:rPr>
  </w:style>
  <w:style w:type="paragraph" w:customStyle="1" w:styleId="Heading3GrayNumbered">
    <w:name w:val="Heading 3 Gray (Numbered)"/>
    <w:basedOn w:val="Normal"/>
    <w:next w:val="Normal"/>
    <w:link w:val="Heading3GrayNumberedChar"/>
    <w:qFormat/>
    <w:rsid w:val="00380613"/>
    <w:pPr>
      <w:keepNext/>
      <w:keepLines/>
      <w:numPr>
        <w:ilvl w:val="3"/>
        <w:numId w:val="8"/>
      </w:numPr>
      <w:spacing w:after="0"/>
      <w:outlineLvl w:val="3"/>
    </w:pPr>
    <w:rPr>
      <w:rFonts w:asciiTheme="majorHAnsi" w:eastAsia="Times" w:hAnsiTheme="majorHAnsi" w:cs="Times New Roman"/>
      <w:b/>
      <w:color w:val="75787B" w:themeColor="accent6"/>
      <w:szCs w:val="24"/>
      <w:lang w:val="en-NZ"/>
    </w:rPr>
  </w:style>
  <w:style w:type="numbering" w:customStyle="1" w:styleId="NumberedStyles">
    <w:name w:val="Numbered Styles"/>
    <w:uiPriority w:val="99"/>
    <w:rsid w:val="00AE4B70"/>
    <w:pPr>
      <w:numPr>
        <w:numId w:val="7"/>
      </w:numPr>
    </w:pPr>
  </w:style>
  <w:style w:type="paragraph" w:styleId="ListParagraph">
    <w:name w:val="List Paragraph"/>
    <w:basedOn w:val="Normal"/>
    <w:uiPriority w:val="34"/>
    <w:qFormat/>
    <w:rsid w:val="00EC5AF5"/>
    <w:pPr>
      <w:ind w:left="720"/>
      <w:contextualSpacing/>
    </w:pPr>
  </w:style>
  <w:style w:type="character" w:customStyle="1" w:styleId="Heading2BlackNumberedChar">
    <w:name w:val="Heading 2 Black (Numbered) Char"/>
    <w:basedOn w:val="DefaultParagraphFont"/>
    <w:link w:val="Heading2BlackNumbered"/>
    <w:rsid w:val="00380613"/>
    <w:rPr>
      <w:rFonts w:asciiTheme="majorHAnsi" w:eastAsia="Times" w:hAnsiTheme="majorHAnsi" w:cs="Times New Roman"/>
      <w:b/>
      <w:sz w:val="18"/>
      <w:szCs w:val="24"/>
      <w:lang w:val="en-NZ"/>
    </w:rPr>
  </w:style>
  <w:style w:type="character" w:customStyle="1" w:styleId="Heading1BlueNumberedChar">
    <w:name w:val="Heading 1 Blue (Numbered) Char"/>
    <w:basedOn w:val="DefaultParagraphFont"/>
    <w:link w:val="Heading1BlueNumbered"/>
    <w:rsid w:val="00380613"/>
    <w:rPr>
      <w:rFonts w:asciiTheme="majorHAnsi" w:eastAsia="Times" w:hAnsiTheme="majorHAnsi" w:cs="Times New Roman"/>
      <w:b/>
      <w:color w:val="62B5E5" w:themeColor="accent3"/>
      <w:sz w:val="18"/>
      <w:szCs w:val="24"/>
      <w:lang w:val="en-NZ"/>
    </w:rPr>
  </w:style>
  <w:style w:type="character" w:customStyle="1" w:styleId="Heading3GrayNumberedChar">
    <w:name w:val="Heading 3 Gray (Numbered) Char"/>
    <w:basedOn w:val="DefaultParagraphFont"/>
    <w:link w:val="Heading3GrayNumbered"/>
    <w:rsid w:val="00380613"/>
    <w:rPr>
      <w:rFonts w:asciiTheme="majorHAnsi" w:eastAsia="Times" w:hAnsiTheme="majorHAnsi" w:cs="Times New Roman"/>
      <w:b/>
      <w:color w:val="75787B" w:themeColor="accent6"/>
      <w:sz w:val="18"/>
      <w:szCs w:val="24"/>
      <w:lang w:val="en-NZ"/>
    </w:rPr>
  </w:style>
  <w:style w:type="paragraph" w:styleId="TOC2">
    <w:name w:val="toc 2"/>
    <w:basedOn w:val="Normal"/>
    <w:next w:val="Normal"/>
    <w:autoRedefine/>
    <w:uiPriority w:val="39"/>
    <w:unhideWhenUsed/>
    <w:rsid w:val="00C142FE"/>
    <w:pPr>
      <w:spacing w:after="100"/>
      <w:ind w:left="180"/>
    </w:pPr>
  </w:style>
  <w:style w:type="paragraph" w:styleId="TOC3">
    <w:name w:val="toc 3"/>
    <w:basedOn w:val="Normal"/>
    <w:next w:val="Normal"/>
    <w:autoRedefine/>
    <w:uiPriority w:val="39"/>
    <w:unhideWhenUsed/>
    <w:rsid w:val="00C142FE"/>
    <w:pPr>
      <w:spacing w:after="100"/>
      <w:ind w:left="360"/>
    </w:pPr>
  </w:style>
  <w:style w:type="table" w:customStyle="1" w:styleId="ListTable31">
    <w:name w:val="List Table 31"/>
    <w:basedOn w:val="TableNormal"/>
    <w:uiPriority w:val="48"/>
    <w:rsid w:val="00E756D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E756D9"/>
    <w:pPr>
      <w:spacing w:after="0" w:line="240" w:lineRule="auto"/>
    </w:pPr>
    <w:tblPr>
      <w:tblStyleRowBandSize w:val="1"/>
      <w:tblStyleColBandSize w:val="1"/>
      <w:tblInd w:w="0" w:type="dxa"/>
      <w:tblBorders>
        <w:top w:val="single" w:sz="4" w:space="0" w:color="86BC25" w:themeColor="accent1"/>
        <w:left w:val="single" w:sz="4" w:space="0" w:color="86BC25" w:themeColor="accent1"/>
        <w:bottom w:val="single" w:sz="4" w:space="0" w:color="86BC25" w:themeColor="accent1"/>
        <w:right w:val="single" w:sz="4" w:space="0" w:color="86BC25" w:themeColor="accent1"/>
      </w:tblBorders>
      <w:tblCellMar>
        <w:top w:w="0" w:type="dxa"/>
        <w:left w:w="108" w:type="dxa"/>
        <w:bottom w:w="0" w:type="dxa"/>
        <w:right w:w="108" w:type="dxa"/>
      </w:tblCellMar>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TableGridLight1">
    <w:name w:val="Table Grid Light1"/>
    <w:basedOn w:val="TableNormal"/>
    <w:uiPriority w:val="40"/>
    <w:rsid w:val="00E756D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LightList-Accent1">
    <w:name w:val="Light List Accent 1"/>
    <w:basedOn w:val="TableNormal"/>
    <w:uiPriority w:val="61"/>
    <w:rsid w:val="000D3A31"/>
    <w:pPr>
      <w:spacing w:after="0" w:line="240" w:lineRule="auto"/>
    </w:pPr>
    <w:tblPr>
      <w:tblStyleRowBandSize w:val="1"/>
      <w:tblStyleColBandSize w:val="1"/>
      <w:tblInd w:w="0" w:type="dxa"/>
      <w:tblBorders>
        <w:top w:val="single" w:sz="8" w:space="0" w:color="86BC25" w:themeColor="accent1"/>
        <w:left w:val="single" w:sz="8" w:space="0" w:color="86BC25" w:themeColor="accent1"/>
        <w:bottom w:val="single" w:sz="8" w:space="0" w:color="86BC25" w:themeColor="accent1"/>
        <w:right w:val="single" w:sz="8" w:space="0" w:color="86BC2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character" w:styleId="CommentReference">
    <w:name w:val="annotation reference"/>
    <w:basedOn w:val="DefaultParagraphFont"/>
    <w:uiPriority w:val="99"/>
    <w:semiHidden/>
    <w:unhideWhenUsed/>
    <w:rsid w:val="005D04B2"/>
    <w:rPr>
      <w:sz w:val="16"/>
      <w:szCs w:val="16"/>
    </w:rPr>
  </w:style>
  <w:style w:type="paragraph" w:styleId="CommentText">
    <w:name w:val="annotation text"/>
    <w:basedOn w:val="Normal"/>
    <w:link w:val="CommentTextChar"/>
    <w:uiPriority w:val="99"/>
    <w:semiHidden/>
    <w:unhideWhenUsed/>
    <w:rsid w:val="005D04B2"/>
    <w:pPr>
      <w:spacing w:line="240" w:lineRule="auto"/>
    </w:pPr>
    <w:rPr>
      <w:sz w:val="20"/>
      <w:szCs w:val="20"/>
    </w:rPr>
  </w:style>
  <w:style w:type="character" w:customStyle="1" w:styleId="CommentTextChar">
    <w:name w:val="Comment Text Char"/>
    <w:basedOn w:val="DefaultParagraphFont"/>
    <w:link w:val="CommentText"/>
    <w:uiPriority w:val="99"/>
    <w:semiHidden/>
    <w:rsid w:val="005D04B2"/>
    <w:rPr>
      <w:sz w:val="20"/>
      <w:szCs w:val="20"/>
      <w:lang w:val="en-US"/>
    </w:rPr>
  </w:style>
  <w:style w:type="paragraph" w:styleId="CommentSubject">
    <w:name w:val="annotation subject"/>
    <w:basedOn w:val="CommentText"/>
    <w:next w:val="CommentText"/>
    <w:link w:val="CommentSubjectChar"/>
    <w:uiPriority w:val="99"/>
    <w:semiHidden/>
    <w:unhideWhenUsed/>
    <w:rsid w:val="005D04B2"/>
    <w:rPr>
      <w:b/>
      <w:bCs/>
    </w:rPr>
  </w:style>
  <w:style w:type="character" w:customStyle="1" w:styleId="CommentSubjectChar">
    <w:name w:val="Comment Subject Char"/>
    <w:basedOn w:val="CommentTextChar"/>
    <w:link w:val="CommentSubject"/>
    <w:uiPriority w:val="99"/>
    <w:semiHidden/>
    <w:rsid w:val="005D04B2"/>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2" w:unhideWhenUsed="0"/>
    <w:lsdException w:name="index 3" w:unhideWhenUsed="0"/>
    <w:lsdException w:name="index 4" w:unhideWhenUsed="0"/>
    <w:lsdException w:name="index 5" w:unhideWhenUsed="0"/>
    <w:lsdException w:name="index 6"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lsdException w:name="footer" w:semiHidden="0"/>
    <w:lsdException w:name="caption" w:semiHidden="0" w:uiPriority="35" w:qFormat="1"/>
    <w:lsdException w:name="footnote reference" w:semiHidden="0"/>
    <w:lsdException w:name="List Bullet" w:semiHidden="0" w:qFormat="1"/>
    <w:lsdException w:name="List Number" w:semiHidden="0" w:qFormat="1"/>
    <w:lsdException w:name="List Bullet 2" w:semiHidden="0" w:qFormat="1"/>
    <w:lsdException w:name="List Number 2" w:semiHidden="0" w:qFormat="1"/>
    <w:lsdException w:name="List Number 5" w:unhideWhenUsed="0"/>
    <w:lsdException w:name="Title" w:semiHidden="0" w:uiPriority="10" w:unhideWhenUsed="0" w:qFormat="1"/>
    <w:lsdException w:name="Default Paragraph Font" w:uiPriority="1"/>
    <w:lsdException w:name="Subtitle" w:semiHidden="0" w:uiPriority="11" w:unhideWhenUsed="0" w:qFormat="1"/>
    <w:lsdException w:name="Body Text Indent 3" w:unhideWhenUsed="0"/>
    <w:lsdException w:name="Block Text"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741"/>
    <w:pPr>
      <w:spacing w:after="240" w:line="240" w:lineRule="atLeast"/>
    </w:pPr>
    <w:rPr>
      <w:sz w:val="18"/>
      <w:lang w:val="en-US"/>
    </w:rPr>
  </w:style>
  <w:style w:type="paragraph" w:styleId="Heading1">
    <w:name w:val="heading 1"/>
    <w:basedOn w:val="Normal"/>
    <w:next w:val="Normal"/>
    <w:link w:val="Heading1Char"/>
    <w:uiPriority w:val="9"/>
    <w:qFormat/>
    <w:rsid w:val="007550AB"/>
    <w:pPr>
      <w:keepNext/>
      <w:keepLines/>
      <w:spacing w:after="0"/>
      <w:outlineLvl w:val="0"/>
    </w:pPr>
    <w:rPr>
      <w:rFonts w:asciiTheme="majorHAnsi" w:eastAsiaTheme="majorEastAsia" w:hAnsiTheme="majorHAnsi" w:cstheme="majorBidi"/>
      <w:b/>
      <w:bCs/>
      <w:color w:val="62B5E5" w:themeColor="accent3"/>
      <w:szCs w:val="28"/>
    </w:rPr>
  </w:style>
  <w:style w:type="paragraph" w:styleId="Heading2">
    <w:name w:val="heading 2"/>
    <w:basedOn w:val="Normal"/>
    <w:next w:val="Normal"/>
    <w:link w:val="Heading2Char"/>
    <w:uiPriority w:val="9"/>
    <w:qFormat/>
    <w:rsid w:val="00380613"/>
    <w:pPr>
      <w:keepNext/>
      <w:keepLines/>
      <w:spacing w:after="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qFormat/>
    <w:rsid w:val="00380613"/>
    <w:pPr>
      <w:keepNext/>
      <w:keepLines/>
      <w:spacing w:after="0"/>
      <w:outlineLvl w:val="2"/>
    </w:pPr>
    <w:rPr>
      <w:rFonts w:asciiTheme="majorHAnsi" w:eastAsiaTheme="majorEastAsia" w:hAnsiTheme="majorHAnsi" w:cstheme="majorBidi"/>
      <w:b/>
      <w:bCs/>
      <w:color w:val="75787B" w:themeColor="accent6"/>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0AB"/>
    <w:rPr>
      <w:rFonts w:asciiTheme="majorHAnsi" w:eastAsiaTheme="majorEastAsia" w:hAnsiTheme="majorHAnsi" w:cstheme="majorBidi"/>
      <w:b/>
      <w:bCs/>
      <w:color w:val="62B5E5" w:themeColor="accent3"/>
      <w:sz w:val="18"/>
      <w:szCs w:val="28"/>
      <w:lang w:val="en-US"/>
    </w:rPr>
  </w:style>
  <w:style w:type="character" w:customStyle="1" w:styleId="Heading2Char">
    <w:name w:val="Heading 2 Char"/>
    <w:basedOn w:val="DefaultParagraphFont"/>
    <w:link w:val="Heading2"/>
    <w:uiPriority w:val="9"/>
    <w:rsid w:val="00380613"/>
    <w:rPr>
      <w:rFonts w:asciiTheme="majorHAnsi" w:eastAsiaTheme="majorEastAsia" w:hAnsiTheme="majorHAnsi" w:cstheme="majorBidi"/>
      <w:b/>
      <w:bCs/>
      <w:color w:val="000000" w:themeColor="text1"/>
      <w:sz w:val="18"/>
      <w:szCs w:val="26"/>
      <w:lang w:val="en-US"/>
    </w:rPr>
  </w:style>
  <w:style w:type="table" w:styleId="TableGrid">
    <w:name w:val="Table Grid"/>
    <w:basedOn w:val="TableNormal"/>
    <w:uiPriority w:val="59"/>
    <w:rsid w:val="001E016B"/>
    <w:pPr>
      <w:spacing w:after="0"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99"/>
    <w:rsid w:val="008631CE"/>
    <w:pPr>
      <w:tabs>
        <w:tab w:val="center" w:pos="4513"/>
        <w:tab w:val="right" w:pos="9026"/>
      </w:tabs>
      <w:spacing w:after="0" w:line="240" w:lineRule="auto"/>
    </w:pPr>
    <w:rPr>
      <w:b/>
      <w:sz w:val="14"/>
      <w:lang w:val="en-US"/>
    </w:rPr>
  </w:style>
  <w:style w:type="character" w:customStyle="1" w:styleId="HeaderChar">
    <w:name w:val="Header Char"/>
    <w:basedOn w:val="DefaultParagraphFont"/>
    <w:link w:val="Header"/>
    <w:uiPriority w:val="99"/>
    <w:rsid w:val="008631CE"/>
    <w:rPr>
      <w:b/>
      <w:sz w:val="14"/>
      <w:lang w:val="en-US"/>
    </w:rPr>
  </w:style>
  <w:style w:type="paragraph" w:styleId="Footer">
    <w:name w:val="footer"/>
    <w:basedOn w:val="Normal"/>
    <w:link w:val="FooterChar"/>
    <w:uiPriority w:val="99"/>
    <w:rsid w:val="001975EF"/>
    <w:pPr>
      <w:tabs>
        <w:tab w:val="right" w:pos="7371"/>
      </w:tabs>
      <w:spacing w:after="0" w:line="200" w:lineRule="atLeast"/>
    </w:pPr>
    <w:rPr>
      <w:sz w:val="16"/>
    </w:rPr>
  </w:style>
  <w:style w:type="character" w:customStyle="1" w:styleId="FooterChar">
    <w:name w:val="Footer Char"/>
    <w:basedOn w:val="DefaultParagraphFont"/>
    <w:link w:val="Footer"/>
    <w:uiPriority w:val="99"/>
    <w:rsid w:val="007550AB"/>
    <w:rPr>
      <w:sz w:val="16"/>
      <w:lang w:val="en-US"/>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544D24"/>
    <w:pPr>
      <w:numPr>
        <w:numId w:val="1"/>
      </w:numPr>
      <w:tabs>
        <w:tab w:val="clear" w:pos="360"/>
      </w:tabs>
      <w:spacing w:after="0"/>
      <w:ind w:left="284" w:hanging="284"/>
      <w:contextualSpacing/>
    </w:pPr>
  </w:style>
  <w:style w:type="paragraph" w:styleId="ListBullet2">
    <w:name w:val="List Bullet 2"/>
    <w:basedOn w:val="Normal"/>
    <w:uiPriority w:val="99"/>
    <w:qFormat/>
    <w:rsid w:val="002B4D02"/>
    <w:pPr>
      <w:numPr>
        <w:numId w:val="2"/>
      </w:numPr>
      <w:ind w:left="568" w:hanging="284"/>
      <w:contextualSpacing/>
    </w:pPr>
  </w:style>
  <w:style w:type="paragraph" w:styleId="ListNumber">
    <w:name w:val="List Number"/>
    <w:basedOn w:val="Normal"/>
    <w:uiPriority w:val="99"/>
    <w:qFormat/>
    <w:rsid w:val="00544D24"/>
    <w:pPr>
      <w:numPr>
        <w:numId w:val="3"/>
      </w:numPr>
      <w:tabs>
        <w:tab w:val="clear" w:pos="360"/>
      </w:tabs>
      <w:spacing w:after="0"/>
      <w:ind w:left="284" w:hanging="284"/>
      <w:contextualSpacing/>
    </w:pPr>
  </w:style>
  <w:style w:type="paragraph" w:styleId="ListNumber2">
    <w:name w:val="List Number 2"/>
    <w:basedOn w:val="Normal"/>
    <w:uiPriority w:val="99"/>
    <w:qFormat/>
    <w:rsid w:val="00D35C72"/>
    <w:pPr>
      <w:numPr>
        <w:numId w:val="4"/>
      </w:numPr>
      <w:ind w:left="568" w:hanging="284"/>
      <w:contextualSpacing/>
    </w:pPr>
  </w:style>
  <w:style w:type="character" w:customStyle="1" w:styleId="Heading3Char">
    <w:name w:val="Heading 3 Char"/>
    <w:basedOn w:val="DefaultParagraphFont"/>
    <w:link w:val="Heading3"/>
    <w:uiPriority w:val="9"/>
    <w:rsid w:val="00380613"/>
    <w:rPr>
      <w:rFonts w:asciiTheme="majorHAnsi" w:eastAsiaTheme="majorEastAsia" w:hAnsiTheme="majorHAnsi" w:cstheme="majorBidi"/>
      <w:b/>
      <w:bCs/>
      <w:color w:val="75787B" w:themeColor="accent6"/>
      <w:sz w:val="18"/>
      <w:lang w:val="en-US"/>
    </w:rPr>
  </w:style>
  <w:style w:type="character" w:customStyle="1" w:styleId="Heading4Char">
    <w:name w:val="Heading 4 Char"/>
    <w:basedOn w:val="DefaultParagraphFont"/>
    <w:link w:val="Heading4"/>
    <w:uiPriority w:val="9"/>
    <w:semiHidden/>
    <w:rsid w:val="007550AB"/>
    <w:rPr>
      <w:rFonts w:asciiTheme="majorHAnsi" w:eastAsiaTheme="majorEastAsia" w:hAnsiTheme="majorHAnsi" w:cstheme="majorBidi"/>
      <w:b/>
      <w:bCs/>
      <w:iCs/>
      <w:color w:val="000000" w:themeColor="text1"/>
      <w:sz w:val="18"/>
      <w:lang w:val="en-US"/>
    </w:rPr>
  </w:style>
  <w:style w:type="paragraph" w:styleId="FootnoteText">
    <w:name w:val="footnote text"/>
    <w:basedOn w:val="Normal"/>
    <w:link w:val="FootnoteTextChar"/>
    <w:uiPriority w:val="99"/>
    <w:rsid w:val="00F3081C"/>
    <w:pPr>
      <w:spacing w:after="0" w:line="240" w:lineRule="auto"/>
    </w:pPr>
    <w:rPr>
      <w:sz w:val="16"/>
      <w:szCs w:val="20"/>
    </w:rPr>
  </w:style>
  <w:style w:type="character" w:customStyle="1" w:styleId="FootnoteTextChar">
    <w:name w:val="Footnote Text Char"/>
    <w:basedOn w:val="DefaultParagraphFont"/>
    <w:link w:val="FootnoteText"/>
    <w:uiPriority w:val="99"/>
    <w:rsid w:val="007550AB"/>
    <w:rPr>
      <w:sz w:val="16"/>
      <w:szCs w:val="20"/>
      <w:lang w:val="en-US"/>
    </w:rPr>
  </w:style>
  <w:style w:type="paragraph" w:customStyle="1" w:styleId="Documenttitle">
    <w:name w:val="Document title"/>
    <w:next w:val="Documentsubtitle"/>
    <w:qFormat/>
    <w:rsid w:val="00A7281A"/>
    <w:pPr>
      <w:spacing w:after="0" w:line="440" w:lineRule="atLeast"/>
    </w:pPr>
    <w:rPr>
      <w:rFonts w:asciiTheme="majorHAnsi" w:eastAsiaTheme="majorEastAsia" w:hAnsiTheme="majorHAnsi" w:cstheme="majorBidi"/>
      <w:b/>
      <w:bCs/>
      <w:color w:val="000000" w:themeColor="text1"/>
      <w:sz w:val="36"/>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paragraph" w:customStyle="1" w:styleId="Sectionintro">
    <w:name w:val="Section intro"/>
    <w:basedOn w:val="Normal"/>
    <w:next w:val="Normal"/>
    <w:qFormat/>
    <w:rsid w:val="00212852"/>
    <w:pPr>
      <w:spacing w:line="360" w:lineRule="atLeast"/>
    </w:pPr>
    <w:rPr>
      <w:sz w:val="28"/>
    </w:rPr>
  </w:style>
  <w:style w:type="paragraph" w:customStyle="1" w:styleId="Documentdate">
    <w:name w:val="Document date"/>
    <w:qFormat/>
    <w:rsid w:val="007550AB"/>
    <w:pPr>
      <w:spacing w:after="0" w:line="240" w:lineRule="atLeast"/>
    </w:pPr>
    <w:rPr>
      <w:sz w:val="18"/>
      <w:lang w:val="en-US"/>
    </w:rPr>
  </w:style>
  <w:style w:type="paragraph" w:customStyle="1" w:styleId="Sectiontitle">
    <w:name w:val="Section title"/>
    <w:basedOn w:val="Normal"/>
    <w:next w:val="Normal"/>
    <w:qFormat/>
    <w:rsid w:val="00EE61A2"/>
    <w:pPr>
      <w:spacing w:after="480" w:line="720" w:lineRule="atLeast"/>
    </w:pPr>
    <w:rPr>
      <w:sz w:val="60"/>
    </w:rPr>
  </w:style>
  <w:style w:type="paragraph" w:customStyle="1" w:styleId="PulloutBlue">
    <w:name w:val="Pullout Blue"/>
    <w:basedOn w:val="Normal"/>
    <w:next w:val="Normal"/>
    <w:qFormat/>
    <w:rsid w:val="00DD5A1B"/>
    <w:pPr>
      <w:spacing w:line="360" w:lineRule="atLeast"/>
    </w:pPr>
    <w:rPr>
      <w:color w:val="62B5E5" w:themeColor="accent3"/>
      <w:sz w:val="28"/>
    </w:rPr>
  </w:style>
  <w:style w:type="paragraph" w:customStyle="1" w:styleId="Contacttext">
    <w:name w:val="Contact text"/>
    <w:basedOn w:val="Normal"/>
    <w:qFormat/>
    <w:rsid w:val="00D7732D"/>
    <w:pPr>
      <w:spacing w:after="0"/>
    </w:pPr>
  </w:style>
  <w:style w:type="paragraph" w:customStyle="1" w:styleId="Contactus">
    <w:name w:val="Contact us"/>
    <w:basedOn w:val="Contacttext"/>
    <w:next w:val="Contacttext"/>
    <w:qFormat/>
    <w:rsid w:val="00D7732D"/>
    <w:pPr>
      <w:spacing w:after="240" w:line="340" w:lineRule="atLeast"/>
    </w:pPr>
    <w:rPr>
      <w:sz w:val="28"/>
    </w:rPr>
  </w:style>
  <w:style w:type="paragraph" w:styleId="Caption">
    <w:name w:val="caption"/>
    <w:basedOn w:val="Normal"/>
    <w:next w:val="Normal"/>
    <w:uiPriority w:val="35"/>
    <w:qFormat/>
    <w:rsid w:val="00B46969"/>
    <w:pPr>
      <w:keepNext/>
      <w:spacing w:line="240" w:lineRule="auto"/>
    </w:pPr>
    <w:rPr>
      <w:iCs/>
      <w:color w:val="75787B" w:themeColor="accent6"/>
      <w:sz w:val="17"/>
      <w:szCs w:val="18"/>
    </w:rPr>
  </w:style>
  <w:style w:type="character" w:styleId="Hyperlink">
    <w:name w:val="Hyperlink"/>
    <w:basedOn w:val="DefaultParagraphFont"/>
    <w:uiPriority w:val="99"/>
    <w:unhideWhenUsed/>
    <w:rsid w:val="00E94C20"/>
    <w:rPr>
      <w:color w:val="00A3E0" w:themeColor="hyperlink"/>
      <w:u w:val="single"/>
    </w:rPr>
  </w:style>
  <w:style w:type="paragraph" w:customStyle="1" w:styleId="PulloutGreen">
    <w:name w:val="Pullout Green"/>
    <w:basedOn w:val="PulloutBlue"/>
    <w:next w:val="Normal"/>
    <w:qFormat/>
    <w:rsid w:val="00822995"/>
    <w:rPr>
      <w:color w:val="86BC25" w:themeColor="accent1"/>
    </w:rPr>
  </w:style>
  <w:style w:type="paragraph" w:customStyle="1" w:styleId="QuotesourceBlue">
    <w:name w:val="Quote source Blue"/>
    <w:basedOn w:val="Normal"/>
    <w:next w:val="Normal"/>
    <w:qFormat/>
    <w:rsid w:val="000516C4"/>
    <w:pPr>
      <w:spacing w:line="200" w:lineRule="atLeast"/>
      <w:contextualSpacing/>
    </w:pPr>
    <w:rPr>
      <w:b/>
      <w:color w:val="62B5E5" w:themeColor="accent3"/>
      <w:sz w:val="17"/>
    </w:rPr>
  </w:style>
  <w:style w:type="paragraph" w:customStyle="1" w:styleId="QuotesourceGreen">
    <w:name w:val="Quote source Green"/>
    <w:basedOn w:val="QuotesourceBlue"/>
    <w:next w:val="Normal"/>
    <w:qFormat/>
    <w:rsid w:val="000516C4"/>
    <w:rPr>
      <w:color w:val="86BC25" w:themeColor="accent1"/>
    </w:rPr>
  </w:style>
  <w:style w:type="paragraph" w:customStyle="1" w:styleId="Paneltext">
    <w:name w:val="Panel text"/>
    <w:basedOn w:val="Normal"/>
    <w:qFormat/>
    <w:rsid w:val="00AE0FC7"/>
    <w:rPr>
      <w:color w:val="FFFFFF" w:themeColor="background1"/>
      <w:sz w:val="17"/>
    </w:rPr>
  </w:style>
  <w:style w:type="paragraph" w:customStyle="1" w:styleId="Paneltitle">
    <w:name w:val="Panel title"/>
    <w:basedOn w:val="Paneltext"/>
    <w:next w:val="Paneltext"/>
    <w:qFormat/>
    <w:rsid w:val="00D0023B"/>
    <w:pPr>
      <w:spacing w:line="360" w:lineRule="atLeast"/>
    </w:pPr>
    <w:rPr>
      <w:b/>
      <w:sz w:val="28"/>
    </w:rPr>
  </w:style>
  <w:style w:type="paragraph" w:customStyle="1" w:styleId="Formoreinfocalloutwhite8512ptPullOutStyles">
    <w:name w:val="For more info call out (white 8.5/12pt) (Pull Out Styles)"/>
    <w:basedOn w:val="Normal"/>
    <w:uiPriority w:val="99"/>
    <w:rsid w:val="00AE0FC7"/>
    <w:pPr>
      <w:tabs>
        <w:tab w:val="left" w:pos="283"/>
        <w:tab w:val="left" w:pos="567"/>
      </w:tabs>
      <w:suppressAutoHyphens/>
      <w:autoSpaceDE w:val="0"/>
      <w:autoSpaceDN w:val="0"/>
      <w:adjustRightInd w:val="0"/>
      <w:spacing w:after="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qFormat/>
    <w:rsid w:val="006528C9"/>
    <w:pPr>
      <w:spacing w:after="120" w:line="440" w:lineRule="atLeast"/>
    </w:pPr>
    <w:rPr>
      <w:sz w:val="36"/>
    </w:rPr>
  </w:style>
  <w:style w:type="paragraph" w:customStyle="1" w:styleId="Contentstitle">
    <w:name w:val="Contents title"/>
    <w:basedOn w:val="Sectiontitle"/>
    <w:next w:val="Normal"/>
    <w:qFormat/>
    <w:rsid w:val="00244010"/>
  </w:style>
  <w:style w:type="paragraph" w:styleId="TOC1">
    <w:name w:val="toc 1"/>
    <w:basedOn w:val="Normal"/>
    <w:next w:val="Normal"/>
    <w:autoRedefine/>
    <w:uiPriority w:val="39"/>
    <w:rsid w:val="000B6C05"/>
    <w:pPr>
      <w:tabs>
        <w:tab w:val="right" w:pos="6935"/>
      </w:tabs>
      <w:spacing w:after="120" w:line="360" w:lineRule="atLeast"/>
    </w:pPr>
    <w:rPr>
      <w:sz w:val="28"/>
    </w:rPr>
  </w:style>
  <w:style w:type="paragraph" w:customStyle="1" w:styleId="Quotetext">
    <w:name w:val="Quote text"/>
    <w:basedOn w:val="PulloutBlue"/>
    <w:qFormat/>
    <w:rsid w:val="003E49BA"/>
    <w:pPr>
      <w:spacing w:after="0" w:line="720" w:lineRule="atLeast"/>
    </w:pPr>
    <w:rPr>
      <w:color w:val="FFFFFF" w:themeColor="background1"/>
      <w:sz w:val="60"/>
    </w:rPr>
  </w:style>
  <w:style w:type="paragraph" w:customStyle="1" w:styleId="Legaltext">
    <w:name w:val="Legal text"/>
    <w:basedOn w:val="Normal"/>
    <w:qFormat/>
    <w:rsid w:val="00BF6F8B"/>
    <w:pPr>
      <w:spacing w:after="0" w:line="180" w:lineRule="atLeast"/>
      <w:ind w:right="5387"/>
    </w:pPr>
    <w:rPr>
      <w:sz w:val="14"/>
    </w:rPr>
  </w:style>
  <w:style w:type="table" w:customStyle="1" w:styleId="Deloittetable">
    <w:name w:val="Deloitte table"/>
    <w:basedOn w:val="TableNormal"/>
    <w:uiPriority w:val="99"/>
    <w:rsid w:val="003B3379"/>
    <w:pPr>
      <w:spacing w:after="0" w:line="240" w:lineRule="auto"/>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
    <w:name w:val="Table text"/>
    <w:basedOn w:val="Normal"/>
    <w:qFormat/>
    <w:rsid w:val="004D1F57"/>
    <w:pPr>
      <w:spacing w:after="0" w:line="200" w:lineRule="atLeast"/>
    </w:pPr>
    <w:rPr>
      <w:sz w:val="17"/>
    </w:rPr>
  </w:style>
  <w:style w:type="paragraph" w:customStyle="1" w:styleId="Tabletitle">
    <w:name w:val="Table title"/>
    <w:basedOn w:val="Tabletext"/>
    <w:qFormat/>
    <w:rsid w:val="004D1F57"/>
    <w:rPr>
      <w:b/>
      <w:color w:val="62B5E5" w:themeColor="accent3"/>
    </w:rPr>
  </w:style>
  <w:style w:type="paragraph" w:customStyle="1" w:styleId="SourcetextTableorChart">
    <w:name w:val="Source text Table or Chart"/>
    <w:basedOn w:val="Caption"/>
    <w:next w:val="Normal"/>
    <w:qFormat/>
    <w:rsid w:val="003B3379"/>
    <w:pPr>
      <w:spacing w:before="120"/>
    </w:pPr>
    <w:rPr>
      <w:sz w:val="14"/>
    </w:rPr>
  </w:style>
  <w:style w:type="paragraph" w:customStyle="1" w:styleId="Tablebullets">
    <w:name w:val="Table bullets"/>
    <w:basedOn w:val="Tabletext"/>
    <w:qFormat/>
    <w:rsid w:val="00AD6475"/>
    <w:pPr>
      <w:numPr>
        <w:numId w:val="5"/>
      </w:numPr>
      <w:ind w:left="284" w:hanging="284"/>
    </w:pPr>
  </w:style>
  <w:style w:type="paragraph" w:customStyle="1" w:styleId="Tablenumbered">
    <w:name w:val="Table numbered"/>
    <w:basedOn w:val="Tablebullets"/>
    <w:qFormat/>
    <w:rsid w:val="00AD6475"/>
    <w:pPr>
      <w:numPr>
        <w:numId w:val="6"/>
      </w:numPr>
      <w:ind w:left="284" w:hanging="284"/>
    </w:pPr>
  </w:style>
  <w:style w:type="paragraph" w:customStyle="1" w:styleId="Charttitle">
    <w:name w:val="Chart title"/>
    <w:basedOn w:val="Heading2"/>
    <w:qFormat/>
    <w:rsid w:val="00B66FC9"/>
  </w:style>
  <w:style w:type="paragraph" w:customStyle="1" w:styleId="Sectiontitle-numbered">
    <w:name w:val="Section title - numbered"/>
    <w:basedOn w:val="Normal"/>
    <w:next w:val="Normal"/>
    <w:qFormat/>
    <w:rsid w:val="00147BD7"/>
    <w:pPr>
      <w:pageBreakBefore/>
      <w:numPr>
        <w:numId w:val="8"/>
      </w:numPr>
      <w:spacing w:after="480" w:line="720" w:lineRule="atLeast"/>
      <w:ind w:left="851" w:hanging="851"/>
    </w:pPr>
    <w:rPr>
      <w:rFonts w:eastAsia="Times" w:cs="Times New Roman"/>
      <w:bCs/>
      <w:color w:val="000000" w:themeColor="text1"/>
      <w:kern w:val="32"/>
      <w:sz w:val="60"/>
      <w:szCs w:val="60"/>
      <w:lang w:val="en-NZ" w:bidi="en-US"/>
    </w:rPr>
  </w:style>
  <w:style w:type="paragraph" w:customStyle="1" w:styleId="Heading1BlueNumbered">
    <w:name w:val="Heading 1 Blue (Numbered)"/>
    <w:basedOn w:val="Normal"/>
    <w:next w:val="Normal"/>
    <w:link w:val="Heading1BlueNumberedChar"/>
    <w:qFormat/>
    <w:rsid w:val="00AE4B70"/>
    <w:pPr>
      <w:keepNext/>
      <w:keepLines/>
      <w:numPr>
        <w:ilvl w:val="1"/>
        <w:numId w:val="8"/>
      </w:numPr>
      <w:spacing w:after="0" w:line="240" w:lineRule="auto"/>
      <w:outlineLvl w:val="1"/>
    </w:pPr>
    <w:rPr>
      <w:rFonts w:asciiTheme="majorHAnsi" w:eastAsia="Times" w:hAnsiTheme="majorHAnsi" w:cs="Times New Roman"/>
      <w:b/>
      <w:color w:val="62B5E5" w:themeColor="accent3"/>
      <w:szCs w:val="24"/>
      <w:lang w:val="en-NZ"/>
    </w:rPr>
  </w:style>
  <w:style w:type="paragraph" w:customStyle="1" w:styleId="Heading2BlackNumbered">
    <w:name w:val="Heading 2 Black (Numbered)"/>
    <w:basedOn w:val="Normal"/>
    <w:next w:val="Normal"/>
    <w:link w:val="Heading2BlackNumberedChar"/>
    <w:qFormat/>
    <w:rsid w:val="00AE4B70"/>
    <w:pPr>
      <w:keepNext/>
      <w:keepLines/>
      <w:numPr>
        <w:ilvl w:val="2"/>
        <w:numId w:val="8"/>
      </w:numPr>
      <w:spacing w:after="0"/>
      <w:outlineLvl w:val="2"/>
    </w:pPr>
    <w:rPr>
      <w:rFonts w:asciiTheme="majorHAnsi" w:eastAsia="Times" w:hAnsiTheme="majorHAnsi" w:cs="Times New Roman"/>
      <w:b/>
      <w:szCs w:val="24"/>
      <w:lang w:val="en-NZ"/>
    </w:rPr>
  </w:style>
  <w:style w:type="paragraph" w:customStyle="1" w:styleId="Heading3GrayNumbered">
    <w:name w:val="Heading 3 Gray (Numbered)"/>
    <w:basedOn w:val="Normal"/>
    <w:next w:val="Normal"/>
    <w:link w:val="Heading3GrayNumberedChar"/>
    <w:qFormat/>
    <w:rsid w:val="00380613"/>
    <w:pPr>
      <w:keepNext/>
      <w:keepLines/>
      <w:numPr>
        <w:ilvl w:val="3"/>
        <w:numId w:val="8"/>
      </w:numPr>
      <w:spacing w:after="0"/>
      <w:outlineLvl w:val="3"/>
    </w:pPr>
    <w:rPr>
      <w:rFonts w:asciiTheme="majorHAnsi" w:eastAsia="Times" w:hAnsiTheme="majorHAnsi" w:cs="Times New Roman"/>
      <w:b/>
      <w:color w:val="75787B" w:themeColor="accent6"/>
      <w:szCs w:val="24"/>
      <w:lang w:val="en-NZ"/>
    </w:rPr>
  </w:style>
  <w:style w:type="numbering" w:customStyle="1" w:styleId="NumberedStyles">
    <w:name w:val="Numbered Styles"/>
    <w:uiPriority w:val="99"/>
    <w:rsid w:val="00AE4B70"/>
    <w:pPr>
      <w:numPr>
        <w:numId w:val="7"/>
      </w:numPr>
    </w:pPr>
  </w:style>
  <w:style w:type="paragraph" w:styleId="ListParagraph">
    <w:name w:val="List Paragraph"/>
    <w:basedOn w:val="Normal"/>
    <w:uiPriority w:val="34"/>
    <w:qFormat/>
    <w:rsid w:val="00EC5AF5"/>
    <w:pPr>
      <w:ind w:left="720"/>
      <w:contextualSpacing/>
    </w:pPr>
  </w:style>
  <w:style w:type="character" w:customStyle="1" w:styleId="Heading2BlackNumberedChar">
    <w:name w:val="Heading 2 Black (Numbered) Char"/>
    <w:basedOn w:val="DefaultParagraphFont"/>
    <w:link w:val="Heading2BlackNumbered"/>
    <w:rsid w:val="00380613"/>
    <w:rPr>
      <w:rFonts w:asciiTheme="majorHAnsi" w:eastAsia="Times" w:hAnsiTheme="majorHAnsi" w:cs="Times New Roman"/>
      <w:b/>
      <w:sz w:val="18"/>
      <w:szCs w:val="24"/>
      <w:lang w:val="en-NZ"/>
    </w:rPr>
  </w:style>
  <w:style w:type="character" w:customStyle="1" w:styleId="Heading1BlueNumberedChar">
    <w:name w:val="Heading 1 Blue (Numbered) Char"/>
    <w:basedOn w:val="DefaultParagraphFont"/>
    <w:link w:val="Heading1BlueNumbered"/>
    <w:rsid w:val="00380613"/>
    <w:rPr>
      <w:rFonts w:asciiTheme="majorHAnsi" w:eastAsia="Times" w:hAnsiTheme="majorHAnsi" w:cs="Times New Roman"/>
      <w:b/>
      <w:color w:val="62B5E5" w:themeColor="accent3"/>
      <w:sz w:val="18"/>
      <w:szCs w:val="24"/>
      <w:lang w:val="en-NZ"/>
    </w:rPr>
  </w:style>
  <w:style w:type="character" w:customStyle="1" w:styleId="Heading3GrayNumberedChar">
    <w:name w:val="Heading 3 Gray (Numbered) Char"/>
    <w:basedOn w:val="DefaultParagraphFont"/>
    <w:link w:val="Heading3GrayNumbered"/>
    <w:rsid w:val="00380613"/>
    <w:rPr>
      <w:rFonts w:asciiTheme="majorHAnsi" w:eastAsia="Times" w:hAnsiTheme="majorHAnsi" w:cs="Times New Roman"/>
      <w:b/>
      <w:color w:val="75787B" w:themeColor="accent6"/>
      <w:sz w:val="18"/>
      <w:szCs w:val="24"/>
      <w:lang w:val="en-NZ"/>
    </w:rPr>
  </w:style>
  <w:style w:type="paragraph" w:styleId="TOC2">
    <w:name w:val="toc 2"/>
    <w:basedOn w:val="Normal"/>
    <w:next w:val="Normal"/>
    <w:autoRedefine/>
    <w:uiPriority w:val="39"/>
    <w:unhideWhenUsed/>
    <w:rsid w:val="00C142FE"/>
    <w:pPr>
      <w:spacing w:after="100"/>
      <w:ind w:left="180"/>
    </w:pPr>
  </w:style>
  <w:style w:type="paragraph" w:styleId="TOC3">
    <w:name w:val="toc 3"/>
    <w:basedOn w:val="Normal"/>
    <w:next w:val="Normal"/>
    <w:autoRedefine/>
    <w:uiPriority w:val="39"/>
    <w:unhideWhenUsed/>
    <w:rsid w:val="00C142FE"/>
    <w:pPr>
      <w:spacing w:after="100"/>
      <w:ind w:left="360"/>
    </w:pPr>
  </w:style>
  <w:style w:type="table" w:customStyle="1" w:styleId="ListTable31">
    <w:name w:val="List Table 31"/>
    <w:basedOn w:val="TableNormal"/>
    <w:uiPriority w:val="48"/>
    <w:rsid w:val="00E756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E756D9"/>
    <w:pPr>
      <w:spacing w:after="0"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TableGridLight1">
    <w:name w:val="Table Grid Light1"/>
    <w:basedOn w:val="TableNormal"/>
    <w:uiPriority w:val="40"/>
    <w:rsid w:val="00E756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Accent1">
    <w:name w:val="Light List Accent 1"/>
    <w:basedOn w:val="TableNormal"/>
    <w:uiPriority w:val="61"/>
    <w:rsid w:val="000D3A31"/>
    <w:pPr>
      <w:spacing w:after="0"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character" w:styleId="CommentReference">
    <w:name w:val="annotation reference"/>
    <w:basedOn w:val="DefaultParagraphFont"/>
    <w:uiPriority w:val="99"/>
    <w:semiHidden/>
    <w:unhideWhenUsed/>
    <w:rsid w:val="005D04B2"/>
    <w:rPr>
      <w:sz w:val="16"/>
      <w:szCs w:val="16"/>
    </w:rPr>
  </w:style>
  <w:style w:type="paragraph" w:styleId="CommentText">
    <w:name w:val="annotation text"/>
    <w:basedOn w:val="Normal"/>
    <w:link w:val="CommentTextChar"/>
    <w:uiPriority w:val="99"/>
    <w:semiHidden/>
    <w:unhideWhenUsed/>
    <w:rsid w:val="005D04B2"/>
    <w:pPr>
      <w:spacing w:line="240" w:lineRule="auto"/>
    </w:pPr>
    <w:rPr>
      <w:sz w:val="20"/>
      <w:szCs w:val="20"/>
    </w:rPr>
  </w:style>
  <w:style w:type="character" w:customStyle="1" w:styleId="CommentTextChar">
    <w:name w:val="Comment Text Char"/>
    <w:basedOn w:val="DefaultParagraphFont"/>
    <w:link w:val="CommentText"/>
    <w:uiPriority w:val="99"/>
    <w:semiHidden/>
    <w:rsid w:val="005D04B2"/>
    <w:rPr>
      <w:sz w:val="20"/>
      <w:szCs w:val="20"/>
      <w:lang w:val="en-US"/>
    </w:rPr>
  </w:style>
  <w:style w:type="paragraph" w:styleId="CommentSubject">
    <w:name w:val="annotation subject"/>
    <w:basedOn w:val="CommentText"/>
    <w:next w:val="CommentText"/>
    <w:link w:val="CommentSubjectChar"/>
    <w:uiPriority w:val="99"/>
    <w:semiHidden/>
    <w:unhideWhenUsed/>
    <w:rsid w:val="005D04B2"/>
    <w:rPr>
      <w:b/>
      <w:bCs/>
    </w:rPr>
  </w:style>
  <w:style w:type="character" w:customStyle="1" w:styleId="CommentSubjectChar">
    <w:name w:val="Comment Subject Char"/>
    <w:basedOn w:val="CommentTextChar"/>
    <w:link w:val="CommentSubject"/>
    <w:uiPriority w:val="99"/>
    <w:semiHidden/>
    <w:rsid w:val="005D04B2"/>
    <w:rPr>
      <w:b/>
      <w:bCs/>
      <w:sz w:val="20"/>
      <w:szCs w:val="20"/>
      <w:lang w:val="en-US"/>
    </w:rPr>
  </w:style>
</w:styles>
</file>

<file path=word/webSettings.xml><?xml version="1.0" encoding="utf-8"?>
<w:webSettings xmlns:r="http://schemas.openxmlformats.org/officeDocument/2006/relationships" xmlns:w="http://schemas.openxmlformats.org/wordprocessingml/2006/main">
  <w:divs>
    <w:div w:id="102119793">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95256967">
      <w:bodyDiv w:val="1"/>
      <w:marLeft w:val="0"/>
      <w:marRight w:val="0"/>
      <w:marTop w:val="0"/>
      <w:marBottom w:val="0"/>
      <w:divBdr>
        <w:top w:val="none" w:sz="0" w:space="0" w:color="auto"/>
        <w:left w:val="none" w:sz="0" w:space="0" w:color="auto"/>
        <w:bottom w:val="none" w:sz="0" w:space="0" w:color="auto"/>
        <w:right w:val="none" w:sz="0" w:space="0" w:color="auto"/>
      </w:divBdr>
    </w:div>
    <w:div w:id="297956727">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458187484">
      <w:bodyDiv w:val="1"/>
      <w:marLeft w:val="0"/>
      <w:marRight w:val="0"/>
      <w:marTop w:val="0"/>
      <w:marBottom w:val="0"/>
      <w:divBdr>
        <w:top w:val="none" w:sz="0" w:space="0" w:color="auto"/>
        <w:left w:val="none" w:sz="0" w:space="0" w:color="auto"/>
        <w:bottom w:val="none" w:sz="0" w:space="0" w:color="auto"/>
        <w:right w:val="none" w:sz="0" w:space="0" w:color="auto"/>
      </w:divBdr>
    </w:div>
    <w:div w:id="872352937">
      <w:bodyDiv w:val="1"/>
      <w:marLeft w:val="0"/>
      <w:marRight w:val="0"/>
      <w:marTop w:val="0"/>
      <w:marBottom w:val="0"/>
      <w:divBdr>
        <w:top w:val="none" w:sz="0" w:space="0" w:color="auto"/>
        <w:left w:val="none" w:sz="0" w:space="0" w:color="auto"/>
        <w:bottom w:val="none" w:sz="0" w:space="0" w:color="auto"/>
        <w:right w:val="none" w:sz="0" w:space="0" w:color="auto"/>
      </w:divBdr>
    </w:div>
    <w:div w:id="1763794093">
      <w:bodyDiv w:val="1"/>
      <w:marLeft w:val="0"/>
      <w:marRight w:val="0"/>
      <w:marTop w:val="0"/>
      <w:marBottom w:val="0"/>
      <w:divBdr>
        <w:top w:val="none" w:sz="0" w:space="0" w:color="auto"/>
        <w:left w:val="none" w:sz="0" w:space="0" w:color="auto"/>
        <w:bottom w:val="none" w:sz="0" w:space="0" w:color="auto"/>
        <w:right w:val="none" w:sz="0" w:space="0" w:color="auto"/>
      </w:divBdr>
    </w:div>
    <w:div w:id="19805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117" Type="http://schemas.microsoft.com/office/2011/relationships/people" Target="people.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8.xml"/><Relationship Id="rId63" Type="http://schemas.openxmlformats.org/officeDocument/2006/relationships/chart" Target="charts/chart43.xml"/><Relationship Id="rId68" Type="http://schemas.openxmlformats.org/officeDocument/2006/relationships/image" Target="media/image9.emf"/><Relationship Id="rId7" Type="http://schemas.openxmlformats.org/officeDocument/2006/relationships/endnotes" Target="endnotes.xml"/><Relationship Id="rId71"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image" Target="media/image4.emf"/><Relationship Id="rId58" Type="http://schemas.openxmlformats.org/officeDocument/2006/relationships/image" Target="media/image5.emf"/><Relationship Id="rId66" Type="http://schemas.openxmlformats.org/officeDocument/2006/relationships/chart" Target="charts/chart4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3.xml"/><Relationship Id="rId57" Type="http://schemas.openxmlformats.org/officeDocument/2006/relationships/chart" Target="charts/chart40.xml"/><Relationship Id="rId61" Type="http://schemas.openxmlformats.org/officeDocument/2006/relationships/image" Target="media/image7.emf"/><Relationship Id="rId119"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6.xml"/><Relationship Id="rId60" Type="http://schemas.openxmlformats.org/officeDocument/2006/relationships/image" Target="media/image6.emf"/><Relationship Id="rId65" Type="http://schemas.openxmlformats.org/officeDocument/2006/relationships/chart" Target="charts/chart4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2.xml"/><Relationship Id="rId56" Type="http://schemas.openxmlformats.org/officeDocument/2006/relationships/chart" Target="charts/chart39.xml"/><Relationship Id="rId64" Type="http://schemas.openxmlformats.org/officeDocument/2006/relationships/chart" Target="charts/chart44.xml"/><Relationship Id="rId69" Type="http://schemas.openxmlformats.org/officeDocument/2006/relationships/image" Target="media/image10.emf"/><Relationship Id="rId118"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3.emf"/><Relationship Id="rId59" Type="http://schemas.openxmlformats.org/officeDocument/2006/relationships/chart" Target="charts/chart41.xml"/><Relationship Id="rId67" Type="http://schemas.openxmlformats.org/officeDocument/2006/relationships/image" Target="media/image8.emf"/><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7.xml"/><Relationship Id="rId62" Type="http://schemas.openxmlformats.org/officeDocument/2006/relationships/chart" Target="charts/chart42.xml"/><Relationship Id="rId7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PROPOSAL%20REPORT%20-%20portrai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zwlg09\Data\FILES\Clients\M\Ministry%20of%20Education\Corporate%20Finance\2016%20Education%20Funding%20System%20Review\4.%20Workings\1.%20Analysis\Sarah's\Latest%20Versions\FIDS%20Analysis\Detailed_Analysis_FIDS_v014(Charts)%20v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engel\Documents\Clients\MoEd\Data\Latest%20Versions\FIDS%20Analysis\FIDS%20Calculations%20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engel\Documents\Clients\MoEd\Data\Latest%20Versions\FIDS%20Analysis\FIDS%20Calculations%20Final.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rengel\Documents\Clients\MoEd\Data\Latest%20Versions\FIDS%20Analysis\FIDS%20Calculation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nzwlg09\Data\FILES\Clients\M\Ministry%20of%20Education\Corporate%20Finance\2016%20Education%20Funding%20System%20Review\4.%20Workings\1.%20Analysis\Sarah's\Latest%20Versions\FIDS%20Analysis\Detailed_Analysis_FIDS_v014(Charts)%20v2.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nzwlg09\Data\FILES\Clients\M\Ministry%20of%20Education\Corporate%20Finance\2016%20Education%20Funding%20System%20Review\4.%20Workings\1.%20Analysis\Sarah's\Latest%20Versions\FIDS%20Analysis\Detailed_Analysis_FIDS_v014(Charts)%20v2.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nzwlg09\Data\FILES\Clients\M\Ministry%20of%20Education\Corporate%20Finance\2016%20Education%20Funding%20System%20Review\4.%20Workings\1.%20Analysis\Sarah's\Latest%20Versions\FIDS%20Analysis\Composite%20Schools%20Charts\FIDS%20Anlaysis%20v3%20Composite.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nzwlg09\Data\FILES\Clients\M\Ministry%20of%20Education\Corporate%20Finance\2016%20Education%20Funding%20System%20Review\4.%20Workings\1.%20Analysis\Sarah's\Latest%20Versions\FIDS%20Analysis\Special%20Schools%20Charts\Charts%20v3%20Specia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wilseasmith\Desktop\Local%20Files\MoE\International%20Students%20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wilseasmith\Desktop\Local%20Files\MoE\International%20Students%20Analysis.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rengel\Documents\Clients\MoEd\Data\Latest%20Versions\FIDS%20Analysis\FIDS%20Calculations%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zwlg09\Data\FILES\Clients\M\Ministry%20of%20Education\Corporate%20Finance\2016%20Education%20Funding%20System%20Review\4.%20Workings\1.%20Analysis\Sarah's\Latest%20Versions\FIDS%20Analysis\Detailed_Analysis_FIDS_v014(Charts)%20v2.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rengel\Documents\Clients\MoEd\Data\Latest%20Versions\FIDS%20Analysis\FIDS%20Calculations%20Final.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rengel\Documents\Clients\MoEd\Data\Latest%20Versions\FIDS%20Analysis\FIDS%20Calculations%20Final.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rengel\Documents\Clients\MoEd\Data\Latest%20Versions\FIDS%20Analysis\FIDS%20Calculations%20Fina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engel\Documents\Clients\MoEd\Data\Distribution%20Charts.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rengel\Documents\Clients\MoEd\Data\Latest%20Versions\FIDS%20Analysis\FIDS%20Calculations%20Final.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rengel\Documents\Clients\MoEd\Data\Latest%20Versions\FIDS%20Analysis\FIDS%20Calculations%20Final.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rengel\Documents\Clients\MoEd\Data\Latest%20Versions\FIDS%20Analysis\FIDS%20Calculations%20Final.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rengel\Documents\Clients\MoEd\Data\Latest%20Versions\FIDS%20Analysis\FIDS%20Calculations%20Fina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rengel\Documents\Clients\MoEd\Data\Distribution%20Charts%20Final.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rengel\Documents\Clients\MoEd\Data\Latest%20Versions\FIDS%20Analysis\FIDS%20Calculations%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zwlg09\Data\FILES\Clients\M\Ministry%20of%20Education\Corporate%20Finance\2016%20Education%20Funding%20System%20Review\4.%20Workings\1.%20Analysis\Sarah's\Latest%20Versions\FIDS%20Analysis\Detailed_Analysis_FIDS_v014(Charts)%20v2.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rengel\Documents\Clients\MoEd\Data\Latest%20Versions\FIDS%20Analysis\FIDS%20Calculations%20Fina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wilseasmith\Desktop\Local%20Files\MoE\Payroll%20Analysis_v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wilseasmith\Desktop\Local%20Files\MoE\Payroll%20Analysis_v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rengel\Documents\Clients\MoEd\Data\Payroll%20Analysis%20vFina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rengel\Documents\Clients\MoEd\Data\Payroll%20Staff%20Analysi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rengel\Documents\Clients\MoEd\Data\Payroll%20Staff%20Analysi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rengel\Documents\Clients\MoEd\Data\Payroll%20Staff%20Analysi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rengel\Documents\Clients\MoEd\Data\Teacher%20Aides%20Joine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rengel\Documents\Clients\MoEd\Data\Reliever%20Analysis%20v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rengel\Documents\Clients\MoEd\Data\Reliever%20Analysis%20v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zwlg09\Data\FILES\Clients\M\Ministry%20of%20Education\Corporate%20Finance\2016%20Education%20Funding%20System%20Review\4.%20Workings\1.%20Analysis\Sarah's\Latest%20Versions\FIDS%20Analysis\Charts%20v4%20Other%20Type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rengel\Documents\Clients\MoEd\Data\Reliever%20Analysis%20v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rengel\Documents\Clients\MoEd\Data\Teacher%20Aides%20Joined.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rengel\Documents\Clients\MoEd\Data\Copy%20of%20Consolidated%20workbook2.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rengel\Documents\Clients\MoEd\Data\Analysis%20of%20consolidated%20data%20v1.1.xlsm"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rengel\Documents\Clients\MoEd\Data\Analysis%20of%20consolidated%20data%20v1.2.xlsm"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jwilseasmith\Desktop\Local%20Files\MoE\2017%20-%20staffing%20worksheet%20analysis.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jwilseasmith\Desktop\Local%20Files\MoE\2017%20-%20staffing%20worksheet%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zwlg09\Data\FILES\Clients\M\Ministry%20of%20Education\Corporate%20Finance\2016%20Education%20Funding%20System%20Review\4.%20Workings\1.%20Analysis\Sarah's\Latest%20Versions\FIDS%20Analysis\Special%20Schools%20Charts\Charts%20v3%20Specia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engel\Documents\Clients\MoEd\Data\Latest%20Versions\FIDS%20Analysis\FIDS%20Calculation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engel\Documents\Clients\MoEd\Data\Latest%20Versions\FIDS%20Analysis\FIDS%20Calculation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engel\Documents\Clients\MoEd\Data\Latest%20Versions\FIDS%20Analysis\FIDS%20Calculation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rengel\Documents\Clients\MoEd\Data\Latest%20Versions\FIDS%20Analysis\FIDS%20Calcul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NZ"/>
  <c:chart>
    <c:title>
      <c:tx>
        <c:rich>
          <a:bodyPr/>
          <a:lstStyle/>
          <a:p>
            <a:pPr>
              <a:defRPr/>
            </a:pPr>
            <a:r>
              <a:rPr lang="en-NZ" sz="900"/>
              <a:t>Total Funding</a:t>
            </a:r>
            <a:r>
              <a:rPr lang="en-NZ" sz="900" baseline="0"/>
              <a:t> $6.04 billion</a:t>
            </a:r>
            <a:endParaRPr lang="en-NZ" sz="900"/>
          </a:p>
        </c:rich>
      </c:tx>
      <c:layout>
        <c:manualLayout>
          <c:xMode val="edge"/>
          <c:yMode val="edge"/>
          <c:x val="1.8714909544604617E-4"/>
          <c:y val="0"/>
        </c:manualLayout>
      </c:layout>
    </c:title>
    <c:plotArea>
      <c:layout>
        <c:manualLayout>
          <c:layoutTarget val="inner"/>
          <c:xMode val="edge"/>
          <c:yMode val="edge"/>
          <c:x val="8.7322736404674181E-2"/>
          <c:y val="0.13581354407669124"/>
          <c:w val="0.48103455818022745"/>
          <c:h val="0.82218384956355983"/>
        </c:manualLayout>
      </c:layout>
      <c:doughnutChart>
        <c:varyColors val="1"/>
        <c:ser>
          <c:idx val="0"/>
          <c:order val="0"/>
          <c:dLbls>
            <c:dLbl>
              <c:idx val="0"/>
              <c:layout>
                <c:manualLayout>
                  <c:x val="2.8072364316905806E-2"/>
                  <c:y val="-0.36041539401343931"/>
                </c:manualLayout>
              </c:layout>
              <c:showPercent val="1"/>
              <c:extLst>
                <c:ext xmlns:c15="http://schemas.microsoft.com/office/drawing/2012/chart" uri="{CE6537A1-D6FC-4f65-9D91-7224C49458BB}"/>
              </c:extLst>
            </c:dLbl>
            <c:dLbl>
              <c:idx val="1"/>
              <c:layout>
                <c:manualLayout>
                  <c:x val="-6.5502183406113634E-2"/>
                  <c:y val="0.14660965180207691"/>
                </c:manualLayout>
              </c:layout>
              <c:showPercent val="1"/>
              <c:extLst>
                <c:ext xmlns:c15="http://schemas.microsoft.com/office/drawing/2012/chart" uri="{CE6537A1-D6FC-4f65-9D91-7224C49458BB}"/>
              </c:extLst>
            </c:dLbl>
            <c:dLbl>
              <c:idx val="2"/>
              <c:layout>
                <c:manualLayout>
                  <c:x val="-9.9812850904554051E-2"/>
                  <c:y val="-6.1087354917532144E-2"/>
                </c:manualLayout>
              </c:layout>
              <c:showPercent val="1"/>
              <c:extLst>
                <c:ext xmlns:c15="http://schemas.microsoft.com/office/drawing/2012/chart" uri="{CE6537A1-D6FC-4f65-9D91-7224C49458BB}"/>
              </c:extLst>
            </c:dLbl>
            <c:dLbl>
              <c:idx val="3"/>
              <c:layout>
                <c:manualLayout>
                  <c:x val="-8.4217092950717568E-2"/>
                  <c:y val="-9.1631032376298452E-2"/>
                </c:manualLayout>
              </c:layout>
              <c:showPercent val="1"/>
              <c:extLst>
                <c:ext xmlns:c15="http://schemas.microsoft.com/office/drawing/2012/chart" uri="{CE6537A1-D6FC-4f65-9D91-7224C49458BB}"/>
              </c:extLst>
            </c:dLbl>
            <c:dLbl>
              <c:idx val="4"/>
              <c:layout>
                <c:manualLayout>
                  <c:x val="-7.1740486587648297E-2"/>
                  <c:y val="-0.1282834453268174"/>
                </c:manualLayout>
              </c:layout>
              <c:showPercent val="1"/>
              <c:extLst>
                <c:ext xmlns:c15="http://schemas.microsoft.com/office/drawing/2012/chart" uri="{CE6537A1-D6FC-4f65-9D91-7224C49458BB}"/>
              </c:extLst>
            </c:dLbl>
            <c:dLbl>
              <c:idx val="5"/>
              <c:layout>
                <c:manualLayout>
                  <c:x val="-4.0548970679975045E-2"/>
                  <c:y val="-0.16493585827733706"/>
                </c:manualLayout>
              </c:layout>
              <c:showPercent val="1"/>
              <c:extLst>
                <c:ext xmlns:c15="http://schemas.microsoft.com/office/drawing/2012/chart" uri="{CE6537A1-D6FC-4f65-9D91-7224C49458BB}"/>
              </c:extLst>
            </c:dLbl>
            <c:dLbl>
              <c:idx val="6"/>
              <c:layout>
                <c:manualLayout>
                  <c:x val="-6.2383031815346664E-3"/>
                  <c:y val="-0.1527183872938308"/>
                </c:manualLayout>
              </c:layout>
              <c:showPercent val="1"/>
              <c:extLst>
                <c:ext xmlns:c15="http://schemas.microsoft.com/office/drawing/2012/chart" uri="{CE6537A1-D6FC-4f65-9D91-7224C49458BB}"/>
              </c:extLst>
            </c:dLbl>
            <c:spPr>
              <a:noFill/>
              <a:ln>
                <a:noFill/>
              </a:ln>
              <a:effectLst/>
            </c:spPr>
            <c:showPercent val="1"/>
            <c:extLst>
              <c:ext xmlns:c15="http://schemas.microsoft.com/office/drawing/2012/chart" uri="{CE6537A1-D6FC-4f65-9D91-7224C49458BB}"/>
            </c:extLst>
          </c:dLbls>
          <c:cat>
            <c:strRef>
              <c:f>SummaryStats!$B$198:$B$204</c:f>
              <c:strCache>
                <c:ptCount val="7"/>
                <c:pt idx="0">
                  <c:v>Teachers salaries grants</c:v>
                </c:pt>
                <c:pt idx="1">
                  <c:v> Use of land and buildings</c:v>
                </c:pt>
                <c:pt idx="2">
                  <c:v>Operational grants</c:v>
                </c:pt>
                <c:pt idx="3">
                  <c:v>Other govt grants</c:v>
                </c:pt>
                <c:pt idx="4">
                  <c:v>Locally raised (excl. international students)</c:v>
                </c:pt>
                <c:pt idx="5">
                  <c:v>International students</c:v>
                </c:pt>
                <c:pt idx="6">
                  <c:v>Other</c:v>
                </c:pt>
              </c:strCache>
            </c:strRef>
          </c:cat>
          <c:val>
            <c:numRef>
              <c:f>SummaryStats!$F$198:$F$204</c:f>
              <c:numCache>
                <c:formatCode>_(* #,##0_);_(* \(#,##0\);_(* "-"??_);_(@_)</c:formatCode>
                <c:ptCount val="7"/>
                <c:pt idx="0">
                  <c:v>3096997768</c:v>
                </c:pt>
                <c:pt idx="1">
                  <c:v>930775976</c:v>
                </c:pt>
                <c:pt idx="2">
                  <c:v>1163933821</c:v>
                </c:pt>
                <c:pt idx="3">
                  <c:v>212276410</c:v>
                </c:pt>
                <c:pt idx="4">
                  <c:v>66909344</c:v>
                </c:pt>
                <c:pt idx="5">
                  <c:v>109742095</c:v>
                </c:pt>
                <c:pt idx="6">
                  <c:v>456723686</c:v>
                </c:pt>
              </c:numCache>
            </c:numRef>
          </c:val>
        </c:ser>
        <c:firstSliceAng val="0"/>
        <c:holeSize val="44"/>
      </c:doughnutChart>
    </c:plotArea>
    <c:legend>
      <c:legendPos val="r"/>
      <c:layout>
        <c:manualLayout>
          <c:xMode val="edge"/>
          <c:yMode val="edge"/>
          <c:x val="0.60246560337163102"/>
          <c:y val="0.11084949903558941"/>
          <c:w val="0.39129609344683441"/>
          <c:h val="0.88915050096441051"/>
        </c:manualLayout>
      </c:layout>
      <c:txPr>
        <a:bodyPr/>
        <a:lstStyle/>
        <a:p>
          <a:pPr rtl="0">
            <a:defRPr/>
          </a:pPr>
          <a:endParaRPr lang="en-US"/>
        </a:p>
      </c:txPr>
    </c:legend>
    <c:plotVisOnly val="1"/>
    <c:dispBlanksAs val="zero"/>
  </c:chart>
  <c:spPr>
    <a:ln>
      <a:noFill/>
    </a:ln>
  </c:spPr>
  <c:txPr>
    <a:bodyPr/>
    <a:lstStyle/>
    <a:p>
      <a:pPr>
        <a:defRPr sz="800"/>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stacked"/>
        <c:ser>
          <c:idx val="0"/>
          <c:order val="0"/>
          <c:tx>
            <c:strRef>
              <c:f>FIDS2015w!$I$2215</c:f>
              <c:strCache>
                <c:ptCount val="1"/>
                <c:pt idx="0">
                  <c:v>Revenue</c:v>
                </c:pt>
              </c:strCache>
            </c:strRef>
          </c:tx>
          <c:cat>
            <c:strRef>
              <c:f>FIDS2015w!$H$2216:$H$2221</c:f>
              <c:strCache>
                <c:ptCount val="6"/>
                <c:pt idx="0">
                  <c:v>Activities</c:v>
                </c:pt>
                <c:pt idx="1">
                  <c:v>Donations</c:v>
                </c:pt>
                <c:pt idx="2">
                  <c:v>Fundraising</c:v>
                </c:pt>
                <c:pt idx="3">
                  <c:v>Trading</c:v>
                </c:pt>
                <c:pt idx="4">
                  <c:v>Other Local Funds</c:v>
                </c:pt>
                <c:pt idx="5">
                  <c:v>Other categories</c:v>
                </c:pt>
              </c:strCache>
            </c:strRef>
          </c:cat>
          <c:val>
            <c:numRef>
              <c:f>FIDS2015w!$I$2216:$I$2221</c:f>
              <c:numCache>
                <c:formatCode>"$"#,##0</c:formatCode>
                <c:ptCount val="6"/>
                <c:pt idx="0">
                  <c:v>159.69856099999998</c:v>
                </c:pt>
                <c:pt idx="1">
                  <c:v>109.09239599999998</c:v>
                </c:pt>
                <c:pt idx="2">
                  <c:v>39.679884999999999</c:v>
                </c:pt>
                <c:pt idx="3">
                  <c:v>63.510130000000011</c:v>
                </c:pt>
                <c:pt idx="4">
                  <c:v>68.77852</c:v>
                </c:pt>
                <c:pt idx="5">
                  <c:v>10.591962000000018</c:v>
                </c:pt>
              </c:numCache>
            </c:numRef>
          </c:val>
        </c:ser>
        <c:ser>
          <c:idx val="1"/>
          <c:order val="1"/>
          <c:tx>
            <c:strRef>
              <c:f>FIDS2015w!$J$2215</c:f>
              <c:strCache>
                <c:ptCount val="1"/>
                <c:pt idx="0">
                  <c:v>Expenses</c:v>
                </c:pt>
              </c:strCache>
            </c:strRef>
          </c:tx>
          <c:cat>
            <c:strRef>
              <c:f>FIDS2015w!$H$2216:$H$2221</c:f>
              <c:strCache>
                <c:ptCount val="6"/>
                <c:pt idx="0">
                  <c:v>Activities</c:v>
                </c:pt>
                <c:pt idx="1">
                  <c:v>Donations</c:v>
                </c:pt>
                <c:pt idx="2">
                  <c:v>Fundraising</c:v>
                </c:pt>
                <c:pt idx="3">
                  <c:v>Trading</c:v>
                </c:pt>
                <c:pt idx="4">
                  <c:v>Other Local Funds</c:v>
                </c:pt>
                <c:pt idx="5">
                  <c:v>Other categories</c:v>
                </c:pt>
              </c:strCache>
            </c:strRef>
          </c:cat>
          <c:val>
            <c:numRef>
              <c:f>FIDS2015w!$J$2216:$J$2221</c:f>
              <c:numCache>
                <c:formatCode>"$"#,##0</c:formatCode>
                <c:ptCount val="6"/>
                <c:pt idx="0">
                  <c:v>-106.07302999999999</c:v>
                </c:pt>
                <c:pt idx="1">
                  <c:v>0</c:v>
                </c:pt>
                <c:pt idx="2">
                  <c:v>-12.503216</c:v>
                </c:pt>
                <c:pt idx="3">
                  <c:v>-51.392565000000012</c:v>
                </c:pt>
                <c:pt idx="4">
                  <c:v>-23.781558</c:v>
                </c:pt>
                <c:pt idx="5">
                  <c:v>-5.2714210000000143</c:v>
                </c:pt>
              </c:numCache>
            </c:numRef>
          </c:val>
        </c:ser>
        <c:overlap val="100"/>
        <c:axId val="266573696"/>
        <c:axId val="266575232"/>
      </c:barChart>
      <c:catAx>
        <c:axId val="266573696"/>
        <c:scaling>
          <c:orientation val="minMax"/>
        </c:scaling>
        <c:axPos val="b"/>
        <c:majorTickMark val="none"/>
        <c:tickLblPos val="low"/>
        <c:crossAx val="266575232"/>
        <c:crosses val="autoZero"/>
        <c:auto val="1"/>
        <c:lblAlgn val="ctr"/>
        <c:lblOffset val="100"/>
      </c:catAx>
      <c:valAx>
        <c:axId val="266575232"/>
        <c:scaling>
          <c:orientation val="minMax"/>
        </c:scaling>
        <c:axPos val="l"/>
        <c:majorGridlines/>
        <c:title>
          <c:tx>
            <c:rich>
              <a:bodyPr rot="-5400000" vert="horz"/>
              <a:lstStyle/>
              <a:p>
                <a:pPr>
                  <a:defRPr/>
                </a:pPr>
                <a:r>
                  <a:rPr lang="en-US"/>
                  <a:t>$ millions</a:t>
                </a:r>
              </a:p>
            </c:rich>
          </c:tx>
        </c:title>
        <c:numFmt formatCode="&quot;$&quot;#,##0" sourceLinked="1"/>
        <c:tickLblPos val="nextTo"/>
        <c:crossAx val="266573696"/>
        <c:crosses val="autoZero"/>
        <c:crossBetween val="between"/>
      </c:valAx>
    </c:plotArea>
    <c:legend>
      <c:legendPos val="r"/>
    </c:legend>
    <c:plotVisOnly val="1"/>
    <c:dispBlanksAs val="gap"/>
  </c:chart>
  <c:spPr>
    <a:ln>
      <a:noFill/>
    </a:ln>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NZ"/>
  <c:chart>
    <c:plotArea>
      <c:layout/>
      <c:pieChart>
        <c:varyColors val="1"/>
        <c:ser>
          <c:idx val="0"/>
          <c:order val="0"/>
          <c:dLbls>
            <c:dLbl>
              <c:idx val="1"/>
              <c:spPr/>
              <c:txPr>
                <a:bodyPr/>
                <a:lstStyle/>
                <a:p>
                  <a:pPr>
                    <a:defRPr>
                      <a:solidFill>
                        <a:schemeClr val="bg1"/>
                      </a:solidFill>
                    </a:defRPr>
                  </a:pPr>
                  <a:endParaRPr lang="en-US"/>
                </a:p>
              </c:txPr>
            </c:dLbl>
            <c:dLbl>
              <c:idx val="4"/>
              <c:spPr/>
              <c:txPr>
                <a:bodyPr/>
                <a:lstStyle/>
                <a:p>
                  <a:pPr>
                    <a:defRPr>
                      <a:solidFill>
                        <a:schemeClr val="bg1"/>
                      </a:solidFill>
                    </a:defRPr>
                  </a:pPr>
                  <a:endParaRPr lang="en-US"/>
                </a:p>
              </c:txPr>
            </c:dLbl>
            <c:showVal val="1"/>
            <c:showLeaderLines val="1"/>
          </c:dLbls>
          <c:cat>
            <c:strRef>
              <c:f>FIDS2015w!$F$2216:$F$2221</c:f>
              <c:strCache>
                <c:ptCount val="6"/>
                <c:pt idx="0">
                  <c:v>Activities</c:v>
                </c:pt>
                <c:pt idx="1">
                  <c:v>Donations</c:v>
                </c:pt>
                <c:pt idx="2">
                  <c:v>Fundraising</c:v>
                </c:pt>
                <c:pt idx="3">
                  <c:v>Trading</c:v>
                </c:pt>
                <c:pt idx="4">
                  <c:v>Other Local Funds</c:v>
                </c:pt>
                <c:pt idx="5">
                  <c:v>Other categories</c:v>
                </c:pt>
              </c:strCache>
            </c:strRef>
          </c:cat>
          <c:val>
            <c:numRef>
              <c:f>FIDS2015w!$G$2216:$G$2221</c:f>
              <c:numCache>
                <c:formatCode>"$"#,##0\ "million"</c:formatCode>
                <c:ptCount val="6"/>
                <c:pt idx="0">
                  <c:v>53.625531000000109</c:v>
                </c:pt>
                <c:pt idx="1">
                  <c:v>109.09239599999998</c:v>
                </c:pt>
                <c:pt idx="2">
                  <c:v>27.176668999999997</c:v>
                </c:pt>
                <c:pt idx="3">
                  <c:v>12.117565000000001</c:v>
                </c:pt>
                <c:pt idx="4">
                  <c:v>44.996962000000003</c:v>
                </c:pt>
                <c:pt idx="5">
                  <c:v>5.3205410000000155</c:v>
                </c:pt>
              </c:numCache>
            </c:numRef>
          </c:val>
        </c:ser>
        <c:firstSliceAng val="0"/>
      </c:pieChart>
    </c:plotArea>
    <c:legend>
      <c:legendPos val="r"/>
    </c:legend>
    <c:plotVisOnly val="1"/>
    <c:dispBlanksAs val="zero"/>
  </c:chart>
  <c:spPr>
    <a:ln>
      <a:noFill/>
    </a:ln>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NZ"/>
  <c:chart>
    <c:plotArea>
      <c:layout>
        <c:manualLayout>
          <c:layoutTarget val="inner"/>
          <c:xMode val="edge"/>
          <c:yMode val="edge"/>
          <c:x val="0.11271062992126012"/>
          <c:y val="0.18565981335666376"/>
          <c:w val="0.62394247594050889"/>
          <c:h val="0.61016185476815465"/>
        </c:manualLayout>
      </c:layout>
      <c:scatterChart>
        <c:scatterStyle val="lineMarker"/>
        <c:ser>
          <c:idx val="0"/>
          <c:order val="0"/>
          <c:tx>
            <c:strRef>
              <c:f>NLF!$K$2</c:f>
              <c:strCache>
                <c:ptCount val="1"/>
                <c:pt idx="0">
                  <c:v>Lower Quartile</c:v>
                </c:pt>
              </c:strCache>
            </c:strRef>
          </c:tx>
          <c:spPr>
            <a:ln w="28575">
              <a:noFill/>
            </a:ln>
          </c:spPr>
          <c:marker>
            <c:symbol val="diamond"/>
            <c:size val="12"/>
          </c:marker>
          <c:dLbls>
            <c:showVal val="1"/>
          </c:dLbls>
          <c:xVal>
            <c:strRef>
              <c:f>NLF!$J$3:$J$6</c:f>
              <c:strCache>
                <c:ptCount val="4"/>
                <c:pt idx="0">
                  <c:v>Primary &amp; intermediate</c:v>
                </c:pt>
                <c:pt idx="1">
                  <c:v>Secondary</c:v>
                </c:pt>
                <c:pt idx="2">
                  <c:v>Composite</c:v>
                </c:pt>
                <c:pt idx="3">
                  <c:v>Special</c:v>
                </c:pt>
              </c:strCache>
            </c:strRef>
          </c:xVal>
          <c:yVal>
            <c:numRef>
              <c:f>NLF!$K$3:$K$6</c:f>
              <c:numCache>
                <c:formatCode>_-"$"* #,##0_-;\-"$"* #,##0_-;_-"$"* "-"??_-;_-@_-</c:formatCode>
                <c:ptCount val="4"/>
                <c:pt idx="0">
                  <c:v>157.114922813036</c:v>
                </c:pt>
                <c:pt idx="1">
                  <c:v>318.91573926867852</c:v>
                </c:pt>
                <c:pt idx="2">
                  <c:v>107.08354675402025</c:v>
                </c:pt>
                <c:pt idx="3">
                  <c:v>210.48904550329431</c:v>
                </c:pt>
              </c:numCache>
            </c:numRef>
          </c:yVal>
        </c:ser>
        <c:ser>
          <c:idx val="1"/>
          <c:order val="1"/>
          <c:tx>
            <c:strRef>
              <c:f>NLF!$L$2</c:f>
              <c:strCache>
                <c:ptCount val="1"/>
                <c:pt idx="0">
                  <c:v>Median</c:v>
                </c:pt>
              </c:strCache>
            </c:strRef>
          </c:tx>
          <c:spPr>
            <a:ln w="28575">
              <a:noFill/>
            </a:ln>
          </c:spPr>
          <c:marker>
            <c:symbol val="diamond"/>
            <c:size val="12"/>
          </c:marker>
          <c:dLbls>
            <c:showVal val="1"/>
          </c:dLbls>
          <c:xVal>
            <c:strRef>
              <c:f>NLF!$J$3:$J$6</c:f>
              <c:strCache>
                <c:ptCount val="4"/>
                <c:pt idx="0">
                  <c:v>Primary &amp; intermediate</c:v>
                </c:pt>
                <c:pt idx="1">
                  <c:v>Secondary</c:v>
                </c:pt>
                <c:pt idx="2">
                  <c:v>Composite</c:v>
                </c:pt>
                <c:pt idx="3">
                  <c:v>Special</c:v>
                </c:pt>
              </c:strCache>
            </c:strRef>
          </c:xVal>
          <c:yVal>
            <c:numRef>
              <c:f>NLF!$L$3:$L$6</c:f>
              <c:numCache>
                <c:formatCode>_-"$"* #,##0_-;\-"$"* #,##0_-;_-"$"* "-"??_-;_-@_-</c:formatCode>
                <c:ptCount val="4"/>
                <c:pt idx="0">
                  <c:v>281.49865229110418</c:v>
                </c:pt>
                <c:pt idx="1">
                  <c:v>478.42821782178169</c:v>
                </c:pt>
                <c:pt idx="2">
                  <c:v>281.99608913142339</c:v>
                </c:pt>
                <c:pt idx="3">
                  <c:v>348.1</c:v>
                </c:pt>
              </c:numCache>
            </c:numRef>
          </c:yVal>
        </c:ser>
        <c:ser>
          <c:idx val="2"/>
          <c:order val="2"/>
          <c:tx>
            <c:strRef>
              <c:f>NLF!$M$2</c:f>
              <c:strCache>
                <c:ptCount val="1"/>
                <c:pt idx="0">
                  <c:v>Upper Quartile</c:v>
                </c:pt>
              </c:strCache>
            </c:strRef>
          </c:tx>
          <c:spPr>
            <a:ln w="28575">
              <a:noFill/>
            </a:ln>
          </c:spPr>
          <c:marker>
            <c:symbol val="diamond"/>
            <c:size val="12"/>
          </c:marker>
          <c:dLbls>
            <c:showVal val="1"/>
          </c:dLbls>
          <c:xVal>
            <c:strRef>
              <c:f>NLF!$J$3:$J$6</c:f>
              <c:strCache>
                <c:ptCount val="4"/>
                <c:pt idx="0">
                  <c:v>Primary &amp; intermediate</c:v>
                </c:pt>
                <c:pt idx="1">
                  <c:v>Secondary</c:v>
                </c:pt>
                <c:pt idx="2">
                  <c:v>Composite</c:v>
                </c:pt>
                <c:pt idx="3">
                  <c:v>Special</c:v>
                </c:pt>
              </c:strCache>
            </c:strRef>
          </c:xVal>
          <c:yVal>
            <c:numRef>
              <c:f>NLF!$M$3:$M$6</c:f>
              <c:numCache>
                <c:formatCode>_-"$"* #,##0_-;\-"$"* #,##0_-;_-"$"* "-"??_-;_-@_-</c:formatCode>
                <c:ptCount val="4"/>
                <c:pt idx="0">
                  <c:v>480.81666666666672</c:v>
                </c:pt>
                <c:pt idx="1">
                  <c:v>745.66666666666663</c:v>
                </c:pt>
                <c:pt idx="2">
                  <c:v>600.32737452779304</c:v>
                </c:pt>
                <c:pt idx="3">
                  <c:v>757.07057772483654</c:v>
                </c:pt>
              </c:numCache>
            </c:numRef>
          </c:yVal>
        </c:ser>
        <c:axId val="267715328"/>
        <c:axId val="267716864"/>
      </c:scatterChart>
      <c:valAx>
        <c:axId val="267715328"/>
        <c:scaling>
          <c:orientation val="minMax"/>
        </c:scaling>
        <c:delete val="1"/>
        <c:axPos val="b"/>
        <c:majorTickMark val="none"/>
        <c:tickLblPos val="none"/>
        <c:crossAx val="267716864"/>
        <c:crosses val="autoZero"/>
        <c:crossBetween val="midCat"/>
      </c:valAx>
      <c:valAx>
        <c:axId val="267716864"/>
        <c:scaling>
          <c:orientation val="minMax"/>
        </c:scaling>
        <c:axPos val="l"/>
        <c:majorGridlines/>
        <c:numFmt formatCode="_-&quot;$&quot;* #,##0_-;\-&quot;$&quot;* #,##0_-;_-&quot;$&quot;* &quot;-&quot;??_-;_-@_-" sourceLinked="1"/>
        <c:tickLblPos val="nextTo"/>
        <c:crossAx val="267715328"/>
        <c:crosses val="autoZero"/>
        <c:crossBetween val="midCat"/>
      </c:valAx>
    </c:plotArea>
    <c:legend>
      <c:legendPos val="r"/>
      <c:layout>
        <c:manualLayout>
          <c:xMode val="edge"/>
          <c:yMode val="edge"/>
          <c:x val="0.74787906319402608"/>
          <c:y val="0.28217483231262841"/>
          <c:w val="0.21984857662023041"/>
          <c:h val="0.33766069120500586"/>
        </c:manualLayout>
      </c:layout>
    </c:legend>
    <c:plotVisOnly val="1"/>
    <c:dispBlanksAs val="gap"/>
  </c:chart>
  <c:spPr>
    <a:ln>
      <a:noFill/>
    </a:ln>
  </c:spPr>
  <c:txPr>
    <a:bodyPr/>
    <a:lstStyle/>
    <a:p>
      <a:pPr>
        <a:defRPr sz="9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NZ"/>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NZ" sz="900" b="1" i="0" kern="1200" baseline="0">
                <a:solidFill>
                  <a:srgbClr val="000000"/>
                </a:solidFill>
                <a:effectLst/>
                <a:latin typeface="Verdana" panose="020B0604030504040204" pitchFamily="34" charset="0"/>
                <a:ea typeface="Verdana" panose="020B0604030504040204" pitchFamily="34" charset="0"/>
                <a:cs typeface="Verdana" panose="020B0604030504040204" pitchFamily="34" charset="0"/>
              </a:rPr>
              <a:t>Net Local Funds Raised Per Student</a:t>
            </a:r>
          </a:p>
        </c:rich>
      </c:tx>
      <c:layout>
        <c:manualLayout>
          <c:xMode val="edge"/>
          <c:yMode val="edge"/>
          <c:x val="2.9702995345071846E-3"/>
          <c:y val="0"/>
        </c:manualLayout>
      </c:layout>
      <c:spPr>
        <a:noFill/>
        <a:ln>
          <a:noFill/>
        </a:ln>
        <a:effectLst/>
      </c:spPr>
    </c:title>
    <c:plotArea>
      <c:layout>
        <c:manualLayout>
          <c:layoutTarget val="inner"/>
          <c:xMode val="edge"/>
          <c:yMode val="edge"/>
          <c:x val="6.5410688694588021E-2"/>
          <c:y val="0.13566191182623921"/>
          <c:w val="0.65318128921271001"/>
          <c:h val="0.70071934865900465"/>
        </c:manualLayout>
      </c:layout>
      <c:barChart>
        <c:barDir val="col"/>
        <c:grouping val="percentStacked"/>
        <c:ser>
          <c:idx val="0"/>
          <c:order val="0"/>
          <c:tx>
            <c:strRef>
              <c:f>Sheet2!$D$6</c:f>
              <c:strCache>
                <c:ptCount val="1"/>
                <c:pt idx="0">
                  <c:v>&lt; $0</c:v>
                </c:pt>
              </c:strCache>
            </c:strRef>
          </c:tx>
          <c:spPr>
            <a:solidFill>
              <a:schemeClr val="accent1"/>
            </a:solidFill>
            <a:ln>
              <a:noFill/>
            </a:ln>
            <a:effectLst/>
          </c:spPr>
          <c:cat>
            <c:strRef>
              <c:f>Sheet2!$B$7:$C$16</c:f>
              <c:strCache>
                <c:ptCount val="10"/>
                <c:pt idx="0">
                  <c:v>1</c:v>
                </c:pt>
                <c:pt idx="1">
                  <c:v>2</c:v>
                </c:pt>
                <c:pt idx="2">
                  <c:v>3</c:v>
                </c:pt>
                <c:pt idx="3">
                  <c:v>4</c:v>
                </c:pt>
                <c:pt idx="4">
                  <c:v>5</c:v>
                </c:pt>
                <c:pt idx="5">
                  <c:v>6</c:v>
                </c:pt>
                <c:pt idx="6">
                  <c:v>7</c:v>
                </c:pt>
                <c:pt idx="7">
                  <c:v>8</c:v>
                </c:pt>
                <c:pt idx="8">
                  <c:v>9</c:v>
                </c:pt>
                <c:pt idx="9">
                  <c:v>10</c:v>
                </c:pt>
              </c:strCache>
            </c:strRef>
          </c:cat>
          <c:val>
            <c:numRef>
              <c:f>Sheet2!$D$7:$D$16</c:f>
              <c:numCache>
                <c:formatCode>General</c:formatCode>
                <c:ptCount val="10"/>
                <c:pt idx="0">
                  <c:v>10</c:v>
                </c:pt>
                <c:pt idx="1">
                  <c:v>10</c:v>
                </c:pt>
                <c:pt idx="2">
                  <c:v>7</c:v>
                </c:pt>
                <c:pt idx="3">
                  <c:v>1</c:v>
                </c:pt>
                <c:pt idx="4">
                  <c:v>7</c:v>
                </c:pt>
                <c:pt idx="5">
                  <c:v>5</c:v>
                </c:pt>
                <c:pt idx="6">
                  <c:v>3</c:v>
                </c:pt>
                <c:pt idx="7">
                  <c:v>2</c:v>
                </c:pt>
                <c:pt idx="8">
                  <c:v>6</c:v>
                </c:pt>
                <c:pt idx="9">
                  <c:v>0</c:v>
                </c:pt>
              </c:numCache>
            </c:numRef>
          </c:val>
        </c:ser>
        <c:ser>
          <c:idx val="1"/>
          <c:order val="1"/>
          <c:tx>
            <c:strRef>
              <c:f>Sheet2!$E$6</c:f>
              <c:strCache>
                <c:ptCount val="1"/>
                <c:pt idx="0">
                  <c:v>$1-$100</c:v>
                </c:pt>
              </c:strCache>
            </c:strRef>
          </c:tx>
          <c:spPr>
            <a:solidFill>
              <a:schemeClr val="accent3"/>
            </a:solidFill>
            <a:ln>
              <a:noFill/>
            </a:ln>
            <a:effectLst/>
          </c:spPr>
          <c:cat>
            <c:strRef>
              <c:f>Sheet2!$B$7:$C$16</c:f>
              <c:strCache>
                <c:ptCount val="10"/>
                <c:pt idx="0">
                  <c:v>1</c:v>
                </c:pt>
                <c:pt idx="1">
                  <c:v>2</c:v>
                </c:pt>
                <c:pt idx="2">
                  <c:v>3</c:v>
                </c:pt>
                <c:pt idx="3">
                  <c:v>4</c:v>
                </c:pt>
                <c:pt idx="4">
                  <c:v>5</c:v>
                </c:pt>
                <c:pt idx="5">
                  <c:v>6</c:v>
                </c:pt>
                <c:pt idx="6">
                  <c:v>7</c:v>
                </c:pt>
                <c:pt idx="7">
                  <c:v>8</c:v>
                </c:pt>
                <c:pt idx="8">
                  <c:v>9</c:v>
                </c:pt>
                <c:pt idx="9">
                  <c:v>10</c:v>
                </c:pt>
              </c:strCache>
            </c:strRef>
          </c:cat>
          <c:val>
            <c:numRef>
              <c:f>Sheet2!$E$7:$E$16</c:f>
              <c:numCache>
                <c:formatCode>General</c:formatCode>
                <c:ptCount val="10"/>
                <c:pt idx="0">
                  <c:v>49</c:v>
                </c:pt>
                <c:pt idx="1">
                  <c:v>46</c:v>
                </c:pt>
                <c:pt idx="2">
                  <c:v>27</c:v>
                </c:pt>
                <c:pt idx="3">
                  <c:v>22</c:v>
                </c:pt>
                <c:pt idx="4">
                  <c:v>14</c:v>
                </c:pt>
                <c:pt idx="5">
                  <c:v>10</c:v>
                </c:pt>
                <c:pt idx="6">
                  <c:v>12</c:v>
                </c:pt>
                <c:pt idx="7">
                  <c:v>8</c:v>
                </c:pt>
                <c:pt idx="8">
                  <c:v>5</c:v>
                </c:pt>
                <c:pt idx="9">
                  <c:v>4</c:v>
                </c:pt>
              </c:numCache>
            </c:numRef>
          </c:val>
        </c:ser>
        <c:ser>
          <c:idx val="2"/>
          <c:order val="2"/>
          <c:tx>
            <c:strRef>
              <c:f>Sheet2!$F$6</c:f>
              <c:strCache>
                <c:ptCount val="1"/>
                <c:pt idx="0">
                  <c:v>$101-$200</c:v>
                </c:pt>
              </c:strCache>
            </c:strRef>
          </c:tx>
          <c:spPr>
            <a:solidFill>
              <a:schemeClr val="accent5"/>
            </a:solidFill>
            <a:ln>
              <a:noFill/>
            </a:ln>
            <a:effectLst/>
          </c:spPr>
          <c:cat>
            <c:strRef>
              <c:f>Sheet2!$B$7:$C$16</c:f>
              <c:strCache>
                <c:ptCount val="10"/>
                <c:pt idx="0">
                  <c:v>1</c:v>
                </c:pt>
                <c:pt idx="1">
                  <c:v>2</c:v>
                </c:pt>
                <c:pt idx="2">
                  <c:v>3</c:v>
                </c:pt>
                <c:pt idx="3">
                  <c:v>4</c:v>
                </c:pt>
                <c:pt idx="4">
                  <c:v>5</c:v>
                </c:pt>
                <c:pt idx="5">
                  <c:v>6</c:v>
                </c:pt>
                <c:pt idx="6">
                  <c:v>7</c:v>
                </c:pt>
                <c:pt idx="7">
                  <c:v>8</c:v>
                </c:pt>
                <c:pt idx="8">
                  <c:v>9</c:v>
                </c:pt>
                <c:pt idx="9">
                  <c:v>10</c:v>
                </c:pt>
              </c:strCache>
            </c:strRef>
          </c:cat>
          <c:val>
            <c:numRef>
              <c:f>Sheet2!$F$7:$F$16</c:f>
              <c:numCache>
                <c:formatCode>General</c:formatCode>
                <c:ptCount val="10"/>
                <c:pt idx="0">
                  <c:v>43</c:v>
                </c:pt>
                <c:pt idx="1">
                  <c:v>37</c:v>
                </c:pt>
                <c:pt idx="2">
                  <c:v>44</c:v>
                </c:pt>
                <c:pt idx="3">
                  <c:v>47</c:v>
                </c:pt>
                <c:pt idx="4">
                  <c:v>41</c:v>
                </c:pt>
                <c:pt idx="5">
                  <c:v>41</c:v>
                </c:pt>
                <c:pt idx="6">
                  <c:v>36</c:v>
                </c:pt>
                <c:pt idx="7">
                  <c:v>27</c:v>
                </c:pt>
                <c:pt idx="8">
                  <c:v>23</c:v>
                </c:pt>
                <c:pt idx="9">
                  <c:v>11</c:v>
                </c:pt>
              </c:numCache>
            </c:numRef>
          </c:val>
        </c:ser>
        <c:ser>
          <c:idx val="3"/>
          <c:order val="3"/>
          <c:tx>
            <c:strRef>
              <c:f>Sheet2!$G$6</c:f>
              <c:strCache>
                <c:ptCount val="1"/>
                <c:pt idx="0">
                  <c:v>$201-$300</c:v>
                </c:pt>
              </c:strCache>
            </c:strRef>
          </c:tx>
          <c:spPr>
            <a:solidFill>
              <a:schemeClr val="accent1">
                <a:lumMod val="60000"/>
              </a:schemeClr>
            </a:solidFill>
            <a:ln>
              <a:noFill/>
            </a:ln>
            <a:effectLst/>
          </c:spPr>
          <c:cat>
            <c:strRef>
              <c:f>Sheet2!$B$7:$C$16</c:f>
              <c:strCache>
                <c:ptCount val="10"/>
                <c:pt idx="0">
                  <c:v>1</c:v>
                </c:pt>
                <c:pt idx="1">
                  <c:v>2</c:v>
                </c:pt>
                <c:pt idx="2">
                  <c:v>3</c:v>
                </c:pt>
                <c:pt idx="3">
                  <c:v>4</c:v>
                </c:pt>
                <c:pt idx="4">
                  <c:v>5</c:v>
                </c:pt>
                <c:pt idx="5">
                  <c:v>6</c:v>
                </c:pt>
                <c:pt idx="6">
                  <c:v>7</c:v>
                </c:pt>
                <c:pt idx="7">
                  <c:v>8</c:v>
                </c:pt>
                <c:pt idx="8">
                  <c:v>9</c:v>
                </c:pt>
                <c:pt idx="9">
                  <c:v>10</c:v>
                </c:pt>
              </c:strCache>
            </c:strRef>
          </c:cat>
          <c:val>
            <c:numRef>
              <c:f>Sheet2!$G$7:$G$16</c:f>
              <c:numCache>
                <c:formatCode>General</c:formatCode>
                <c:ptCount val="10"/>
                <c:pt idx="0">
                  <c:v>18</c:v>
                </c:pt>
                <c:pt idx="1">
                  <c:v>21</c:v>
                </c:pt>
                <c:pt idx="2">
                  <c:v>33</c:v>
                </c:pt>
                <c:pt idx="3">
                  <c:v>31</c:v>
                </c:pt>
                <c:pt idx="4">
                  <c:v>38</c:v>
                </c:pt>
                <c:pt idx="5">
                  <c:v>31</c:v>
                </c:pt>
                <c:pt idx="6">
                  <c:v>33</c:v>
                </c:pt>
                <c:pt idx="7">
                  <c:v>49</c:v>
                </c:pt>
                <c:pt idx="8">
                  <c:v>33</c:v>
                </c:pt>
                <c:pt idx="9">
                  <c:v>37</c:v>
                </c:pt>
              </c:numCache>
            </c:numRef>
          </c:val>
        </c:ser>
        <c:ser>
          <c:idx val="4"/>
          <c:order val="4"/>
          <c:tx>
            <c:strRef>
              <c:f>Sheet2!$H$6</c:f>
              <c:strCache>
                <c:ptCount val="1"/>
                <c:pt idx="0">
                  <c:v>$301-$400</c:v>
                </c:pt>
              </c:strCache>
            </c:strRef>
          </c:tx>
          <c:spPr>
            <a:solidFill>
              <a:schemeClr val="accent3">
                <a:lumMod val="60000"/>
              </a:schemeClr>
            </a:solidFill>
            <a:ln>
              <a:noFill/>
            </a:ln>
            <a:effectLst/>
          </c:spPr>
          <c:cat>
            <c:strRef>
              <c:f>Sheet2!$B$7:$C$16</c:f>
              <c:strCache>
                <c:ptCount val="10"/>
                <c:pt idx="0">
                  <c:v>1</c:v>
                </c:pt>
                <c:pt idx="1">
                  <c:v>2</c:v>
                </c:pt>
                <c:pt idx="2">
                  <c:v>3</c:v>
                </c:pt>
                <c:pt idx="3">
                  <c:v>4</c:v>
                </c:pt>
                <c:pt idx="4">
                  <c:v>5</c:v>
                </c:pt>
                <c:pt idx="5">
                  <c:v>6</c:v>
                </c:pt>
                <c:pt idx="6">
                  <c:v>7</c:v>
                </c:pt>
                <c:pt idx="7">
                  <c:v>8</c:v>
                </c:pt>
                <c:pt idx="8">
                  <c:v>9</c:v>
                </c:pt>
                <c:pt idx="9">
                  <c:v>10</c:v>
                </c:pt>
              </c:strCache>
            </c:strRef>
          </c:cat>
          <c:val>
            <c:numRef>
              <c:f>Sheet2!$H$7:$H$16</c:f>
              <c:numCache>
                <c:formatCode>General</c:formatCode>
                <c:ptCount val="10"/>
                <c:pt idx="0">
                  <c:v>13</c:v>
                </c:pt>
                <c:pt idx="1">
                  <c:v>13</c:v>
                </c:pt>
                <c:pt idx="2">
                  <c:v>18</c:v>
                </c:pt>
                <c:pt idx="3">
                  <c:v>26</c:v>
                </c:pt>
                <c:pt idx="4">
                  <c:v>25</c:v>
                </c:pt>
                <c:pt idx="5">
                  <c:v>21</c:v>
                </c:pt>
                <c:pt idx="6">
                  <c:v>30</c:v>
                </c:pt>
                <c:pt idx="7">
                  <c:v>27</c:v>
                </c:pt>
                <c:pt idx="8">
                  <c:v>33</c:v>
                </c:pt>
                <c:pt idx="9">
                  <c:v>40</c:v>
                </c:pt>
              </c:numCache>
            </c:numRef>
          </c:val>
        </c:ser>
        <c:ser>
          <c:idx val="5"/>
          <c:order val="5"/>
          <c:tx>
            <c:strRef>
              <c:f>Sheet2!$I$6</c:f>
              <c:strCache>
                <c:ptCount val="1"/>
                <c:pt idx="0">
                  <c:v>$401-$500</c:v>
                </c:pt>
              </c:strCache>
            </c:strRef>
          </c:tx>
          <c:spPr>
            <a:solidFill>
              <a:schemeClr val="accent5">
                <a:lumMod val="60000"/>
              </a:schemeClr>
            </a:solidFill>
            <a:ln>
              <a:noFill/>
            </a:ln>
            <a:effectLst/>
          </c:spPr>
          <c:cat>
            <c:strRef>
              <c:f>Sheet2!$B$7:$C$16</c:f>
              <c:strCache>
                <c:ptCount val="10"/>
                <c:pt idx="0">
                  <c:v>1</c:v>
                </c:pt>
                <c:pt idx="1">
                  <c:v>2</c:v>
                </c:pt>
                <c:pt idx="2">
                  <c:v>3</c:v>
                </c:pt>
                <c:pt idx="3">
                  <c:v>4</c:v>
                </c:pt>
                <c:pt idx="4">
                  <c:v>5</c:v>
                </c:pt>
                <c:pt idx="5">
                  <c:v>6</c:v>
                </c:pt>
                <c:pt idx="6">
                  <c:v>7</c:v>
                </c:pt>
                <c:pt idx="7">
                  <c:v>8</c:v>
                </c:pt>
                <c:pt idx="8">
                  <c:v>9</c:v>
                </c:pt>
                <c:pt idx="9">
                  <c:v>10</c:v>
                </c:pt>
              </c:strCache>
            </c:strRef>
          </c:cat>
          <c:val>
            <c:numRef>
              <c:f>Sheet2!$I$7:$I$16</c:f>
              <c:numCache>
                <c:formatCode>General</c:formatCode>
                <c:ptCount val="10"/>
                <c:pt idx="0">
                  <c:v>12</c:v>
                </c:pt>
                <c:pt idx="1">
                  <c:v>10</c:v>
                </c:pt>
                <c:pt idx="2">
                  <c:v>7</c:v>
                </c:pt>
                <c:pt idx="3">
                  <c:v>5</c:v>
                </c:pt>
                <c:pt idx="4">
                  <c:v>19</c:v>
                </c:pt>
                <c:pt idx="5">
                  <c:v>16</c:v>
                </c:pt>
                <c:pt idx="6">
                  <c:v>21</c:v>
                </c:pt>
                <c:pt idx="7">
                  <c:v>15</c:v>
                </c:pt>
                <c:pt idx="8">
                  <c:v>21</c:v>
                </c:pt>
                <c:pt idx="9">
                  <c:v>32</c:v>
                </c:pt>
              </c:numCache>
            </c:numRef>
          </c:val>
        </c:ser>
        <c:ser>
          <c:idx val="6"/>
          <c:order val="6"/>
          <c:tx>
            <c:strRef>
              <c:f>Sheet2!$J$6</c:f>
              <c:strCache>
                <c:ptCount val="1"/>
                <c:pt idx="0">
                  <c:v>$501-$600</c:v>
                </c:pt>
              </c:strCache>
            </c:strRef>
          </c:tx>
          <c:spPr>
            <a:solidFill>
              <a:schemeClr val="accent1">
                <a:lumMod val="80000"/>
                <a:lumOff val="20000"/>
              </a:schemeClr>
            </a:solidFill>
            <a:ln>
              <a:noFill/>
            </a:ln>
            <a:effectLst/>
          </c:spPr>
          <c:cat>
            <c:strRef>
              <c:f>Sheet2!$B$7:$C$16</c:f>
              <c:strCache>
                <c:ptCount val="10"/>
                <c:pt idx="0">
                  <c:v>1</c:v>
                </c:pt>
                <c:pt idx="1">
                  <c:v>2</c:v>
                </c:pt>
                <c:pt idx="2">
                  <c:v>3</c:v>
                </c:pt>
                <c:pt idx="3">
                  <c:v>4</c:v>
                </c:pt>
                <c:pt idx="4">
                  <c:v>5</c:v>
                </c:pt>
                <c:pt idx="5">
                  <c:v>6</c:v>
                </c:pt>
                <c:pt idx="6">
                  <c:v>7</c:v>
                </c:pt>
                <c:pt idx="7">
                  <c:v>8</c:v>
                </c:pt>
                <c:pt idx="8">
                  <c:v>9</c:v>
                </c:pt>
                <c:pt idx="9">
                  <c:v>10</c:v>
                </c:pt>
              </c:strCache>
            </c:strRef>
          </c:cat>
          <c:val>
            <c:numRef>
              <c:f>Sheet2!$J$7:$J$16</c:f>
              <c:numCache>
                <c:formatCode>General</c:formatCode>
                <c:ptCount val="10"/>
                <c:pt idx="0">
                  <c:v>8</c:v>
                </c:pt>
                <c:pt idx="1">
                  <c:v>6</c:v>
                </c:pt>
                <c:pt idx="2">
                  <c:v>8</c:v>
                </c:pt>
                <c:pt idx="3">
                  <c:v>9</c:v>
                </c:pt>
                <c:pt idx="4">
                  <c:v>7</c:v>
                </c:pt>
                <c:pt idx="5">
                  <c:v>11</c:v>
                </c:pt>
                <c:pt idx="6">
                  <c:v>10</c:v>
                </c:pt>
                <c:pt idx="7">
                  <c:v>12</c:v>
                </c:pt>
                <c:pt idx="8">
                  <c:v>21</c:v>
                </c:pt>
                <c:pt idx="9">
                  <c:v>26</c:v>
                </c:pt>
              </c:numCache>
            </c:numRef>
          </c:val>
        </c:ser>
        <c:ser>
          <c:idx val="7"/>
          <c:order val="7"/>
          <c:tx>
            <c:strRef>
              <c:f>Sheet2!$K$6</c:f>
              <c:strCache>
                <c:ptCount val="1"/>
                <c:pt idx="0">
                  <c:v>&gt; $600</c:v>
                </c:pt>
              </c:strCache>
            </c:strRef>
          </c:tx>
          <c:spPr>
            <a:solidFill>
              <a:schemeClr val="accent3">
                <a:lumMod val="80000"/>
                <a:lumOff val="20000"/>
              </a:schemeClr>
            </a:solidFill>
            <a:ln>
              <a:noFill/>
            </a:ln>
            <a:effectLst/>
          </c:spPr>
          <c:cat>
            <c:strRef>
              <c:f>Sheet2!$B$7:$C$16</c:f>
              <c:strCache>
                <c:ptCount val="10"/>
                <c:pt idx="0">
                  <c:v>1</c:v>
                </c:pt>
                <c:pt idx="1">
                  <c:v>2</c:v>
                </c:pt>
                <c:pt idx="2">
                  <c:v>3</c:v>
                </c:pt>
                <c:pt idx="3">
                  <c:v>4</c:v>
                </c:pt>
                <c:pt idx="4">
                  <c:v>5</c:v>
                </c:pt>
                <c:pt idx="5">
                  <c:v>6</c:v>
                </c:pt>
                <c:pt idx="6">
                  <c:v>7</c:v>
                </c:pt>
                <c:pt idx="7">
                  <c:v>8</c:v>
                </c:pt>
                <c:pt idx="8">
                  <c:v>9</c:v>
                </c:pt>
                <c:pt idx="9">
                  <c:v>10</c:v>
                </c:pt>
              </c:strCache>
            </c:strRef>
          </c:cat>
          <c:val>
            <c:numRef>
              <c:f>Sheet2!$K$7:$K$16</c:f>
              <c:numCache>
                <c:formatCode>General</c:formatCode>
                <c:ptCount val="10"/>
                <c:pt idx="0">
                  <c:v>20</c:v>
                </c:pt>
                <c:pt idx="1">
                  <c:v>20</c:v>
                </c:pt>
                <c:pt idx="2">
                  <c:v>15</c:v>
                </c:pt>
                <c:pt idx="3">
                  <c:v>21</c:v>
                </c:pt>
                <c:pt idx="4">
                  <c:v>35</c:v>
                </c:pt>
                <c:pt idx="5">
                  <c:v>28</c:v>
                </c:pt>
                <c:pt idx="6">
                  <c:v>39</c:v>
                </c:pt>
                <c:pt idx="7">
                  <c:v>39</c:v>
                </c:pt>
                <c:pt idx="8">
                  <c:v>44</c:v>
                </c:pt>
                <c:pt idx="9">
                  <c:v>46</c:v>
                </c:pt>
              </c:numCache>
            </c:numRef>
          </c:val>
        </c:ser>
        <c:gapWidth val="50"/>
        <c:overlap val="100"/>
        <c:axId val="267697152"/>
        <c:axId val="267703424"/>
        <c:extLst/>
      </c:barChart>
      <c:catAx>
        <c:axId val="267697152"/>
        <c:scaling>
          <c:orientation val="minMax"/>
        </c:scaling>
        <c:axPos val="b"/>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NZ" sz="800">
                    <a:latin typeface="Verdana" panose="020B0604030504040204" pitchFamily="34" charset="0"/>
                    <a:ea typeface="Verdana" panose="020B0604030504040204" pitchFamily="34" charset="0"/>
                    <a:cs typeface="Verdana" panose="020B0604030504040204" pitchFamily="34" charset="0"/>
                  </a:rPr>
                  <a:t>Decile</a:t>
                </a:r>
              </a:p>
            </c:rich>
          </c:tx>
          <c:layout>
            <c:manualLayout>
              <c:xMode val="edge"/>
              <c:yMode val="edge"/>
              <c:x val="0.39382665452337656"/>
              <c:y val="0.92737692307692177"/>
            </c:manualLayout>
          </c:layout>
          <c:spPr>
            <a:noFill/>
            <a:ln>
              <a:noFill/>
            </a:ln>
            <a:effectLst/>
          </c:spPr>
        </c:title>
        <c:numFmt formatCode="General" sourceLinked="0"/>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7703424"/>
        <c:crosses val="autoZero"/>
        <c:auto val="1"/>
        <c:lblAlgn val="ctr"/>
        <c:lblOffset val="100"/>
      </c:catAx>
      <c:valAx>
        <c:axId val="267703424"/>
        <c:scaling>
          <c:orientation val="minMax"/>
        </c:scaling>
        <c:axPos val="l"/>
        <c:majorGridlines>
          <c:spPr>
            <a:ln w="9525" cap="flat" cmpd="sng" algn="ctr">
              <a:noFill/>
              <a:prstDash val="solid"/>
              <a:round/>
            </a:ln>
            <a:effectLst/>
          </c:spPr>
        </c:majorGridlines>
        <c:numFmt formatCode="0%"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7697152"/>
        <c:crosses val="autoZero"/>
        <c:crossBetween val="between"/>
        <c:majorUnit val="0.2"/>
      </c:valAx>
      <c:spPr>
        <a:solidFill>
          <a:schemeClr val="bg1"/>
        </a:solidFill>
        <a:ln>
          <a:noFill/>
        </a:ln>
        <a:effectLst/>
      </c:spPr>
    </c:plotArea>
    <c:legend>
      <c:legendPos val="r"/>
      <c:layout>
        <c:manualLayout>
          <c:xMode val="edge"/>
          <c:yMode val="edge"/>
          <c:x val="0.79183869662011919"/>
          <c:y val="0.15082606837606841"/>
          <c:w val="0.18977990285367341"/>
          <c:h val="0.8087931623931639"/>
        </c:manualLayout>
      </c:layout>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chart>
  <c:spPr>
    <a:solidFill>
      <a:schemeClr val="bg1"/>
    </a:solidFill>
    <a:ln w="9525" cap="flat" cmpd="sng" algn="ctr">
      <a:noFill/>
      <a:prstDash val="solid"/>
      <a:round/>
    </a:ln>
    <a:effectLst/>
  </c:spPr>
  <c:txPr>
    <a:bodyPr/>
    <a:lstStyle/>
    <a:p>
      <a:pPr>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NZ"/>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NZ" sz="900" b="1" i="0" kern="1200" baseline="0">
                <a:solidFill>
                  <a:srgbClr val="000000"/>
                </a:solidFill>
                <a:effectLst/>
                <a:latin typeface="Verdana" panose="020B0604030504040204" pitchFamily="34" charset="0"/>
                <a:ea typeface="Verdana" panose="020B0604030504040204" pitchFamily="34" charset="0"/>
                <a:cs typeface="Verdana" panose="020B0604030504040204" pitchFamily="34" charset="0"/>
              </a:rPr>
              <a:t>Net Local Funds Raised Per Student</a:t>
            </a:r>
          </a:p>
        </c:rich>
      </c:tx>
      <c:layout>
        <c:manualLayout>
          <c:xMode val="edge"/>
          <c:yMode val="edge"/>
          <c:x val="2.9702995345071846E-3"/>
          <c:y val="0"/>
        </c:manualLayout>
      </c:layout>
      <c:spPr>
        <a:noFill/>
        <a:ln>
          <a:noFill/>
        </a:ln>
        <a:effectLst/>
      </c:spPr>
    </c:title>
    <c:plotArea>
      <c:layout>
        <c:manualLayout>
          <c:layoutTarget val="inner"/>
          <c:xMode val="edge"/>
          <c:yMode val="edge"/>
          <c:x val="6.5410688694588021E-2"/>
          <c:y val="0.13566191182623921"/>
          <c:w val="0.65318128921271001"/>
          <c:h val="0.70071934865900465"/>
        </c:manualLayout>
      </c:layout>
      <c:barChart>
        <c:barDir val="col"/>
        <c:grouping val="percentStacked"/>
        <c:ser>
          <c:idx val="0"/>
          <c:order val="0"/>
          <c:tx>
            <c:strRef>
              <c:f>Sheet2!$D$42</c:f>
              <c:strCache>
                <c:ptCount val="1"/>
                <c:pt idx="0">
                  <c:v>&lt; $150</c:v>
                </c:pt>
              </c:strCache>
            </c:strRef>
          </c:tx>
          <c:spPr>
            <a:solidFill>
              <a:schemeClr val="accent1"/>
            </a:solidFill>
            <a:ln>
              <a:noFill/>
            </a:ln>
            <a:effectLst/>
          </c:spPr>
          <c:cat>
            <c:strRef>
              <c:f>Sheet2!$B$43:$C$52</c:f>
              <c:strCache>
                <c:ptCount val="10"/>
                <c:pt idx="0">
                  <c:v>1</c:v>
                </c:pt>
                <c:pt idx="1">
                  <c:v>2</c:v>
                </c:pt>
                <c:pt idx="2">
                  <c:v>3</c:v>
                </c:pt>
                <c:pt idx="3">
                  <c:v>4</c:v>
                </c:pt>
                <c:pt idx="4">
                  <c:v>5</c:v>
                </c:pt>
                <c:pt idx="5">
                  <c:v>6</c:v>
                </c:pt>
                <c:pt idx="6">
                  <c:v>7</c:v>
                </c:pt>
                <c:pt idx="7">
                  <c:v>8</c:v>
                </c:pt>
                <c:pt idx="8">
                  <c:v>9</c:v>
                </c:pt>
                <c:pt idx="9">
                  <c:v>10</c:v>
                </c:pt>
              </c:strCache>
            </c:strRef>
          </c:cat>
          <c:val>
            <c:numRef>
              <c:f>Sheet2!$D$43:$D$52</c:f>
              <c:numCache>
                <c:formatCode>General</c:formatCode>
                <c:ptCount val="10"/>
                <c:pt idx="0">
                  <c:v>4</c:v>
                </c:pt>
                <c:pt idx="1">
                  <c:v>4</c:v>
                </c:pt>
                <c:pt idx="2">
                  <c:v>2</c:v>
                </c:pt>
                <c:pt idx="3">
                  <c:v>1</c:v>
                </c:pt>
                <c:pt idx="4">
                  <c:v>0</c:v>
                </c:pt>
                <c:pt idx="5">
                  <c:v>5</c:v>
                </c:pt>
                <c:pt idx="6">
                  <c:v>2</c:v>
                </c:pt>
                <c:pt idx="7">
                  <c:v>0</c:v>
                </c:pt>
                <c:pt idx="8">
                  <c:v>1</c:v>
                </c:pt>
                <c:pt idx="9">
                  <c:v>0</c:v>
                </c:pt>
              </c:numCache>
            </c:numRef>
          </c:val>
        </c:ser>
        <c:ser>
          <c:idx val="1"/>
          <c:order val="1"/>
          <c:tx>
            <c:strRef>
              <c:f>Sheet2!$E$42</c:f>
              <c:strCache>
                <c:ptCount val="1"/>
                <c:pt idx="0">
                  <c:v>$151-$300</c:v>
                </c:pt>
              </c:strCache>
            </c:strRef>
          </c:tx>
          <c:spPr>
            <a:solidFill>
              <a:schemeClr val="accent3"/>
            </a:solidFill>
            <a:ln>
              <a:noFill/>
            </a:ln>
            <a:effectLst/>
          </c:spPr>
          <c:cat>
            <c:strRef>
              <c:f>Sheet2!$B$43:$C$52</c:f>
              <c:strCache>
                <c:ptCount val="10"/>
                <c:pt idx="0">
                  <c:v>1</c:v>
                </c:pt>
                <c:pt idx="1">
                  <c:v>2</c:v>
                </c:pt>
                <c:pt idx="2">
                  <c:v>3</c:v>
                </c:pt>
                <c:pt idx="3">
                  <c:v>4</c:v>
                </c:pt>
                <c:pt idx="4">
                  <c:v>5</c:v>
                </c:pt>
                <c:pt idx="5">
                  <c:v>6</c:v>
                </c:pt>
                <c:pt idx="6">
                  <c:v>7</c:v>
                </c:pt>
                <c:pt idx="7">
                  <c:v>8</c:v>
                </c:pt>
                <c:pt idx="8">
                  <c:v>9</c:v>
                </c:pt>
                <c:pt idx="9">
                  <c:v>10</c:v>
                </c:pt>
              </c:strCache>
            </c:strRef>
          </c:cat>
          <c:val>
            <c:numRef>
              <c:f>Sheet2!$E$43:$E$52</c:f>
              <c:numCache>
                <c:formatCode>General</c:formatCode>
                <c:ptCount val="10"/>
                <c:pt idx="0">
                  <c:v>3</c:v>
                </c:pt>
                <c:pt idx="1">
                  <c:v>4</c:v>
                </c:pt>
                <c:pt idx="2">
                  <c:v>9</c:v>
                </c:pt>
                <c:pt idx="3">
                  <c:v>2</c:v>
                </c:pt>
                <c:pt idx="4">
                  <c:v>2</c:v>
                </c:pt>
                <c:pt idx="5">
                  <c:v>4</c:v>
                </c:pt>
                <c:pt idx="6">
                  <c:v>2</c:v>
                </c:pt>
                <c:pt idx="7">
                  <c:v>4</c:v>
                </c:pt>
                <c:pt idx="8">
                  <c:v>2</c:v>
                </c:pt>
                <c:pt idx="9">
                  <c:v>0</c:v>
                </c:pt>
              </c:numCache>
            </c:numRef>
          </c:val>
        </c:ser>
        <c:ser>
          <c:idx val="2"/>
          <c:order val="2"/>
          <c:tx>
            <c:strRef>
              <c:f>Sheet2!$F$42</c:f>
              <c:strCache>
                <c:ptCount val="1"/>
                <c:pt idx="0">
                  <c:v>$301-$450</c:v>
                </c:pt>
              </c:strCache>
            </c:strRef>
          </c:tx>
          <c:spPr>
            <a:solidFill>
              <a:schemeClr val="accent5"/>
            </a:solidFill>
            <a:ln>
              <a:noFill/>
            </a:ln>
            <a:effectLst/>
          </c:spPr>
          <c:cat>
            <c:strRef>
              <c:f>Sheet2!$B$43:$C$52</c:f>
              <c:strCache>
                <c:ptCount val="10"/>
                <c:pt idx="0">
                  <c:v>1</c:v>
                </c:pt>
                <c:pt idx="1">
                  <c:v>2</c:v>
                </c:pt>
                <c:pt idx="2">
                  <c:v>3</c:v>
                </c:pt>
                <c:pt idx="3">
                  <c:v>4</c:v>
                </c:pt>
                <c:pt idx="4">
                  <c:v>5</c:v>
                </c:pt>
                <c:pt idx="5">
                  <c:v>6</c:v>
                </c:pt>
                <c:pt idx="6">
                  <c:v>7</c:v>
                </c:pt>
                <c:pt idx="7">
                  <c:v>8</c:v>
                </c:pt>
                <c:pt idx="8">
                  <c:v>9</c:v>
                </c:pt>
                <c:pt idx="9">
                  <c:v>10</c:v>
                </c:pt>
              </c:strCache>
            </c:strRef>
          </c:cat>
          <c:val>
            <c:numRef>
              <c:f>Sheet2!$F$43:$F$52</c:f>
              <c:numCache>
                <c:formatCode>General</c:formatCode>
                <c:ptCount val="10"/>
                <c:pt idx="0">
                  <c:v>5</c:v>
                </c:pt>
                <c:pt idx="1">
                  <c:v>5</c:v>
                </c:pt>
                <c:pt idx="2">
                  <c:v>3</c:v>
                </c:pt>
                <c:pt idx="3">
                  <c:v>7</c:v>
                </c:pt>
                <c:pt idx="4">
                  <c:v>8</c:v>
                </c:pt>
                <c:pt idx="5">
                  <c:v>3</c:v>
                </c:pt>
                <c:pt idx="6">
                  <c:v>4</c:v>
                </c:pt>
                <c:pt idx="7">
                  <c:v>6</c:v>
                </c:pt>
                <c:pt idx="8">
                  <c:v>3</c:v>
                </c:pt>
                <c:pt idx="9">
                  <c:v>2</c:v>
                </c:pt>
              </c:numCache>
            </c:numRef>
          </c:val>
        </c:ser>
        <c:ser>
          <c:idx val="3"/>
          <c:order val="3"/>
          <c:tx>
            <c:strRef>
              <c:f>Sheet2!$G$42</c:f>
              <c:strCache>
                <c:ptCount val="1"/>
                <c:pt idx="0">
                  <c:v>$451-$600</c:v>
                </c:pt>
              </c:strCache>
            </c:strRef>
          </c:tx>
          <c:spPr>
            <a:solidFill>
              <a:schemeClr val="accent1">
                <a:lumMod val="60000"/>
              </a:schemeClr>
            </a:solidFill>
            <a:ln>
              <a:noFill/>
            </a:ln>
            <a:effectLst/>
          </c:spPr>
          <c:cat>
            <c:strRef>
              <c:f>Sheet2!$B$43:$C$52</c:f>
              <c:strCache>
                <c:ptCount val="10"/>
                <c:pt idx="0">
                  <c:v>1</c:v>
                </c:pt>
                <c:pt idx="1">
                  <c:v>2</c:v>
                </c:pt>
                <c:pt idx="2">
                  <c:v>3</c:v>
                </c:pt>
                <c:pt idx="3">
                  <c:v>4</c:v>
                </c:pt>
                <c:pt idx="4">
                  <c:v>5</c:v>
                </c:pt>
                <c:pt idx="5">
                  <c:v>6</c:v>
                </c:pt>
                <c:pt idx="6">
                  <c:v>7</c:v>
                </c:pt>
                <c:pt idx="7">
                  <c:v>8</c:v>
                </c:pt>
                <c:pt idx="8">
                  <c:v>9</c:v>
                </c:pt>
                <c:pt idx="9">
                  <c:v>10</c:v>
                </c:pt>
              </c:strCache>
            </c:strRef>
          </c:cat>
          <c:val>
            <c:numRef>
              <c:f>Sheet2!$G$43:$G$52</c:f>
              <c:numCache>
                <c:formatCode>General</c:formatCode>
                <c:ptCount val="10"/>
                <c:pt idx="0">
                  <c:v>1</c:v>
                </c:pt>
                <c:pt idx="1">
                  <c:v>2</c:v>
                </c:pt>
                <c:pt idx="2">
                  <c:v>7</c:v>
                </c:pt>
                <c:pt idx="3">
                  <c:v>6</c:v>
                </c:pt>
                <c:pt idx="4">
                  <c:v>7</c:v>
                </c:pt>
                <c:pt idx="5">
                  <c:v>7</c:v>
                </c:pt>
                <c:pt idx="6">
                  <c:v>5</c:v>
                </c:pt>
                <c:pt idx="7">
                  <c:v>6</c:v>
                </c:pt>
                <c:pt idx="8">
                  <c:v>4</c:v>
                </c:pt>
                <c:pt idx="9">
                  <c:v>4</c:v>
                </c:pt>
              </c:numCache>
            </c:numRef>
          </c:val>
        </c:ser>
        <c:ser>
          <c:idx val="4"/>
          <c:order val="4"/>
          <c:tx>
            <c:strRef>
              <c:f>Sheet2!$H$42</c:f>
              <c:strCache>
                <c:ptCount val="1"/>
                <c:pt idx="0">
                  <c:v>$601-$750</c:v>
                </c:pt>
              </c:strCache>
            </c:strRef>
          </c:tx>
          <c:spPr>
            <a:solidFill>
              <a:schemeClr val="accent3">
                <a:lumMod val="60000"/>
              </a:schemeClr>
            </a:solidFill>
            <a:ln>
              <a:noFill/>
            </a:ln>
            <a:effectLst/>
          </c:spPr>
          <c:cat>
            <c:strRef>
              <c:f>Sheet2!$B$43:$C$52</c:f>
              <c:strCache>
                <c:ptCount val="10"/>
                <c:pt idx="0">
                  <c:v>1</c:v>
                </c:pt>
                <c:pt idx="1">
                  <c:v>2</c:v>
                </c:pt>
                <c:pt idx="2">
                  <c:v>3</c:v>
                </c:pt>
                <c:pt idx="3">
                  <c:v>4</c:v>
                </c:pt>
                <c:pt idx="4">
                  <c:v>5</c:v>
                </c:pt>
                <c:pt idx="5">
                  <c:v>6</c:v>
                </c:pt>
                <c:pt idx="6">
                  <c:v>7</c:v>
                </c:pt>
                <c:pt idx="7">
                  <c:v>8</c:v>
                </c:pt>
                <c:pt idx="8">
                  <c:v>9</c:v>
                </c:pt>
                <c:pt idx="9">
                  <c:v>10</c:v>
                </c:pt>
              </c:strCache>
            </c:strRef>
          </c:cat>
          <c:val>
            <c:numRef>
              <c:f>Sheet2!$H$43:$H$52</c:f>
              <c:numCache>
                <c:formatCode>General</c:formatCode>
                <c:ptCount val="10"/>
                <c:pt idx="0">
                  <c:v>3</c:v>
                </c:pt>
                <c:pt idx="1">
                  <c:v>2</c:v>
                </c:pt>
                <c:pt idx="2">
                  <c:v>6</c:v>
                </c:pt>
                <c:pt idx="3">
                  <c:v>5</c:v>
                </c:pt>
                <c:pt idx="4">
                  <c:v>4</c:v>
                </c:pt>
                <c:pt idx="5">
                  <c:v>7</c:v>
                </c:pt>
                <c:pt idx="6">
                  <c:v>5</c:v>
                </c:pt>
                <c:pt idx="7">
                  <c:v>3</c:v>
                </c:pt>
                <c:pt idx="8">
                  <c:v>5</c:v>
                </c:pt>
                <c:pt idx="9">
                  <c:v>2</c:v>
                </c:pt>
              </c:numCache>
            </c:numRef>
          </c:val>
        </c:ser>
        <c:ser>
          <c:idx val="5"/>
          <c:order val="5"/>
          <c:tx>
            <c:strRef>
              <c:f>Sheet2!$I$42</c:f>
              <c:strCache>
                <c:ptCount val="1"/>
                <c:pt idx="0">
                  <c:v>$751-$900</c:v>
                </c:pt>
              </c:strCache>
            </c:strRef>
          </c:tx>
          <c:spPr>
            <a:solidFill>
              <a:schemeClr val="accent5">
                <a:lumMod val="60000"/>
              </a:schemeClr>
            </a:solidFill>
            <a:ln>
              <a:noFill/>
            </a:ln>
            <a:effectLst/>
          </c:spPr>
          <c:cat>
            <c:strRef>
              <c:f>Sheet2!$B$43:$C$52</c:f>
              <c:strCache>
                <c:ptCount val="10"/>
                <c:pt idx="0">
                  <c:v>1</c:v>
                </c:pt>
                <c:pt idx="1">
                  <c:v>2</c:v>
                </c:pt>
                <c:pt idx="2">
                  <c:v>3</c:v>
                </c:pt>
                <c:pt idx="3">
                  <c:v>4</c:v>
                </c:pt>
                <c:pt idx="4">
                  <c:v>5</c:v>
                </c:pt>
                <c:pt idx="5">
                  <c:v>6</c:v>
                </c:pt>
                <c:pt idx="6">
                  <c:v>7</c:v>
                </c:pt>
                <c:pt idx="7">
                  <c:v>8</c:v>
                </c:pt>
                <c:pt idx="8">
                  <c:v>9</c:v>
                </c:pt>
                <c:pt idx="9">
                  <c:v>10</c:v>
                </c:pt>
              </c:strCache>
            </c:strRef>
          </c:cat>
          <c:val>
            <c:numRef>
              <c:f>Sheet2!$I$43:$I$52</c:f>
              <c:numCache>
                <c:formatCode>General</c:formatCode>
                <c:ptCount val="10"/>
                <c:pt idx="0">
                  <c:v>0</c:v>
                </c:pt>
                <c:pt idx="1">
                  <c:v>3</c:v>
                </c:pt>
                <c:pt idx="2">
                  <c:v>0</c:v>
                </c:pt>
                <c:pt idx="3">
                  <c:v>4</c:v>
                </c:pt>
                <c:pt idx="4">
                  <c:v>3</c:v>
                </c:pt>
                <c:pt idx="5">
                  <c:v>5</c:v>
                </c:pt>
                <c:pt idx="6">
                  <c:v>3</c:v>
                </c:pt>
                <c:pt idx="7">
                  <c:v>4</c:v>
                </c:pt>
                <c:pt idx="8">
                  <c:v>4</c:v>
                </c:pt>
                <c:pt idx="9">
                  <c:v>2</c:v>
                </c:pt>
              </c:numCache>
            </c:numRef>
          </c:val>
        </c:ser>
        <c:ser>
          <c:idx val="6"/>
          <c:order val="6"/>
          <c:tx>
            <c:strRef>
              <c:f>Sheet2!$J$42</c:f>
              <c:strCache>
                <c:ptCount val="1"/>
                <c:pt idx="0">
                  <c:v>$901-$1050</c:v>
                </c:pt>
              </c:strCache>
            </c:strRef>
          </c:tx>
          <c:spPr>
            <a:solidFill>
              <a:schemeClr val="accent1">
                <a:lumMod val="80000"/>
                <a:lumOff val="20000"/>
              </a:schemeClr>
            </a:solidFill>
            <a:ln>
              <a:noFill/>
            </a:ln>
            <a:effectLst/>
          </c:spPr>
          <c:cat>
            <c:strRef>
              <c:f>Sheet2!$B$43:$C$52</c:f>
              <c:strCache>
                <c:ptCount val="10"/>
                <c:pt idx="0">
                  <c:v>1</c:v>
                </c:pt>
                <c:pt idx="1">
                  <c:v>2</c:v>
                </c:pt>
                <c:pt idx="2">
                  <c:v>3</c:v>
                </c:pt>
                <c:pt idx="3">
                  <c:v>4</c:v>
                </c:pt>
                <c:pt idx="4">
                  <c:v>5</c:v>
                </c:pt>
                <c:pt idx="5">
                  <c:v>6</c:v>
                </c:pt>
                <c:pt idx="6">
                  <c:v>7</c:v>
                </c:pt>
                <c:pt idx="7">
                  <c:v>8</c:v>
                </c:pt>
                <c:pt idx="8">
                  <c:v>9</c:v>
                </c:pt>
                <c:pt idx="9">
                  <c:v>10</c:v>
                </c:pt>
              </c:strCache>
            </c:strRef>
          </c:cat>
          <c:val>
            <c:numRef>
              <c:f>Sheet2!$J$43:$J$52</c:f>
              <c:numCache>
                <c:formatCode>General</c:formatCode>
                <c:ptCount val="10"/>
                <c:pt idx="0">
                  <c:v>0</c:v>
                </c:pt>
                <c:pt idx="1">
                  <c:v>2</c:v>
                </c:pt>
                <c:pt idx="2">
                  <c:v>1</c:v>
                </c:pt>
                <c:pt idx="3">
                  <c:v>2</c:v>
                </c:pt>
                <c:pt idx="4">
                  <c:v>1</c:v>
                </c:pt>
                <c:pt idx="5">
                  <c:v>2</c:v>
                </c:pt>
                <c:pt idx="6">
                  <c:v>3</c:v>
                </c:pt>
                <c:pt idx="7">
                  <c:v>1</c:v>
                </c:pt>
                <c:pt idx="8">
                  <c:v>3</c:v>
                </c:pt>
                <c:pt idx="9">
                  <c:v>1</c:v>
                </c:pt>
              </c:numCache>
            </c:numRef>
          </c:val>
        </c:ser>
        <c:ser>
          <c:idx val="7"/>
          <c:order val="7"/>
          <c:tx>
            <c:strRef>
              <c:f>Sheet2!$K$42</c:f>
              <c:strCache>
                <c:ptCount val="1"/>
                <c:pt idx="0">
                  <c:v>&gt; $1050</c:v>
                </c:pt>
              </c:strCache>
            </c:strRef>
          </c:tx>
          <c:spPr>
            <a:solidFill>
              <a:schemeClr val="accent3">
                <a:lumMod val="80000"/>
                <a:lumOff val="20000"/>
              </a:schemeClr>
            </a:solidFill>
            <a:ln>
              <a:noFill/>
            </a:ln>
            <a:effectLst/>
          </c:spPr>
          <c:cat>
            <c:strRef>
              <c:f>Sheet2!$B$43:$C$52</c:f>
              <c:strCache>
                <c:ptCount val="10"/>
                <c:pt idx="0">
                  <c:v>1</c:v>
                </c:pt>
                <c:pt idx="1">
                  <c:v>2</c:v>
                </c:pt>
                <c:pt idx="2">
                  <c:v>3</c:v>
                </c:pt>
                <c:pt idx="3">
                  <c:v>4</c:v>
                </c:pt>
                <c:pt idx="4">
                  <c:v>5</c:v>
                </c:pt>
                <c:pt idx="5">
                  <c:v>6</c:v>
                </c:pt>
                <c:pt idx="6">
                  <c:v>7</c:v>
                </c:pt>
                <c:pt idx="7">
                  <c:v>8</c:v>
                </c:pt>
                <c:pt idx="8">
                  <c:v>9</c:v>
                </c:pt>
                <c:pt idx="9">
                  <c:v>10</c:v>
                </c:pt>
              </c:strCache>
            </c:strRef>
          </c:cat>
          <c:val>
            <c:numRef>
              <c:f>Sheet2!$K$43:$K$52</c:f>
              <c:numCache>
                <c:formatCode>General</c:formatCode>
                <c:ptCount val="10"/>
                <c:pt idx="0">
                  <c:v>0</c:v>
                </c:pt>
                <c:pt idx="1">
                  <c:v>2</c:v>
                </c:pt>
                <c:pt idx="2">
                  <c:v>0</c:v>
                </c:pt>
                <c:pt idx="3">
                  <c:v>2</c:v>
                </c:pt>
                <c:pt idx="4">
                  <c:v>0</c:v>
                </c:pt>
                <c:pt idx="5">
                  <c:v>3</c:v>
                </c:pt>
                <c:pt idx="6">
                  <c:v>5</c:v>
                </c:pt>
                <c:pt idx="7">
                  <c:v>4</c:v>
                </c:pt>
                <c:pt idx="8">
                  <c:v>8</c:v>
                </c:pt>
                <c:pt idx="9">
                  <c:v>6</c:v>
                </c:pt>
              </c:numCache>
            </c:numRef>
          </c:val>
        </c:ser>
        <c:gapWidth val="50"/>
        <c:overlap val="100"/>
        <c:axId val="267487488"/>
        <c:axId val="267493760"/>
        <c:extLst/>
      </c:barChart>
      <c:catAx>
        <c:axId val="267487488"/>
        <c:scaling>
          <c:orientation val="minMax"/>
        </c:scaling>
        <c:axPos val="b"/>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NZ" sz="800">
                    <a:latin typeface="Verdana" panose="020B0604030504040204" pitchFamily="34" charset="0"/>
                    <a:ea typeface="Verdana" panose="020B0604030504040204" pitchFamily="34" charset="0"/>
                    <a:cs typeface="Verdana" panose="020B0604030504040204" pitchFamily="34" charset="0"/>
                  </a:rPr>
                  <a:t>Decile</a:t>
                </a:r>
              </a:p>
            </c:rich>
          </c:tx>
          <c:layout>
            <c:manualLayout>
              <c:xMode val="edge"/>
              <c:yMode val="edge"/>
              <c:x val="0.39382665452337656"/>
              <c:y val="0.92737692307692177"/>
            </c:manualLayout>
          </c:layout>
          <c:spPr>
            <a:noFill/>
            <a:ln>
              <a:noFill/>
            </a:ln>
            <a:effectLst/>
          </c:spPr>
        </c:title>
        <c:numFmt formatCode="General" sourceLinked="0"/>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7493760"/>
        <c:crosses val="autoZero"/>
        <c:auto val="1"/>
        <c:lblAlgn val="ctr"/>
        <c:lblOffset val="100"/>
      </c:catAx>
      <c:valAx>
        <c:axId val="267493760"/>
        <c:scaling>
          <c:orientation val="minMax"/>
        </c:scaling>
        <c:axPos val="l"/>
        <c:majorGridlines>
          <c:spPr>
            <a:ln w="9525" cap="flat" cmpd="sng" algn="ctr">
              <a:noFill/>
              <a:prstDash val="solid"/>
              <a:round/>
            </a:ln>
            <a:effectLst/>
          </c:spPr>
        </c:majorGridlines>
        <c:numFmt formatCode="0%"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7487488"/>
        <c:crosses val="autoZero"/>
        <c:crossBetween val="between"/>
        <c:majorUnit val="0.2"/>
      </c:valAx>
      <c:spPr>
        <a:solidFill>
          <a:schemeClr val="bg1"/>
        </a:solidFill>
        <a:ln>
          <a:noFill/>
        </a:ln>
        <a:effectLst/>
      </c:spPr>
    </c:plotArea>
    <c:legend>
      <c:legendPos val="r"/>
      <c:layout>
        <c:manualLayout>
          <c:xMode val="edge"/>
          <c:yMode val="edge"/>
          <c:x val="0.77577413479052992"/>
          <c:y val="0.15082606837606841"/>
          <c:w val="0.20584446468326287"/>
          <c:h val="0.8087931623931639"/>
        </c:manualLayout>
      </c:layout>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chart>
  <c:spPr>
    <a:solidFill>
      <a:schemeClr val="bg1"/>
    </a:solidFill>
    <a:ln w="9525" cap="flat" cmpd="sng" algn="ctr">
      <a:noFill/>
      <a:prstDash val="solid"/>
      <a:round/>
    </a:ln>
    <a:effectLst/>
  </c:spPr>
  <c:txPr>
    <a:bodyPr/>
    <a:lstStyle/>
    <a:p>
      <a:pPr>
        <a:defRPr/>
      </a:pPr>
      <a:endParaRPr lang="en-U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lang val="en-NZ"/>
  <c:chart>
    <c:autoTitleDeleted val="1"/>
    <c:plotArea>
      <c:layout>
        <c:manualLayout>
          <c:layoutTarget val="inner"/>
          <c:xMode val="edge"/>
          <c:yMode val="edge"/>
          <c:x val="0.13187960140079982"/>
          <c:y val="5.0954628506153454E-2"/>
          <c:w val="0.73117569217497003"/>
          <c:h val="0.52190090276968715"/>
        </c:manualLayout>
      </c:layout>
      <c:barChart>
        <c:barDir val="col"/>
        <c:grouping val="clustered"/>
        <c:ser>
          <c:idx val="0"/>
          <c:order val="0"/>
          <c:spPr>
            <a:solidFill>
              <a:schemeClr val="accent1"/>
            </a:solidFill>
            <a:ln>
              <a:noFill/>
            </a:ln>
            <a:effectLst/>
          </c:spPr>
          <c:cat>
            <c:strRef>
              <c:f>Sheet2!$D$135:$K$135</c:f>
              <c:strCache>
                <c:ptCount val="8"/>
                <c:pt idx="0">
                  <c:v>&lt; $0</c:v>
                </c:pt>
                <c:pt idx="1">
                  <c:v>$1-$200</c:v>
                </c:pt>
                <c:pt idx="2">
                  <c:v>$201-$400</c:v>
                </c:pt>
                <c:pt idx="3">
                  <c:v>$401-$600</c:v>
                </c:pt>
                <c:pt idx="4">
                  <c:v>$601-$800</c:v>
                </c:pt>
                <c:pt idx="5">
                  <c:v>$801-$1000</c:v>
                </c:pt>
                <c:pt idx="6">
                  <c:v>$1001-$1200</c:v>
                </c:pt>
                <c:pt idx="7">
                  <c:v>&gt; $1200</c:v>
                </c:pt>
              </c:strCache>
            </c:strRef>
          </c:cat>
          <c:val>
            <c:numRef>
              <c:f>Sheet2!$D$136:$K$136</c:f>
              <c:numCache>
                <c:formatCode>General</c:formatCode>
                <c:ptCount val="8"/>
                <c:pt idx="0">
                  <c:v>10</c:v>
                </c:pt>
                <c:pt idx="1">
                  <c:v>24</c:v>
                </c:pt>
                <c:pt idx="2">
                  <c:v>21</c:v>
                </c:pt>
                <c:pt idx="3">
                  <c:v>15</c:v>
                </c:pt>
                <c:pt idx="4">
                  <c:v>10</c:v>
                </c:pt>
                <c:pt idx="5">
                  <c:v>5</c:v>
                </c:pt>
                <c:pt idx="6">
                  <c:v>4</c:v>
                </c:pt>
                <c:pt idx="7">
                  <c:v>7</c:v>
                </c:pt>
              </c:numCache>
            </c:numRef>
          </c:val>
        </c:ser>
        <c:gapWidth val="50"/>
        <c:axId val="271265792"/>
        <c:axId val="271267712"/>
        <c:extLst/>
      </c:barChart>
      <c:catAx>
        <c:axId val="271265792"/>
        <c:scaling>
          <c:orientation val="minMax"/>
        </c:scaling>
        <c:axPos val="b"/>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a:latin typeface="Verdana" panose="020B0604030504040204" pitchFamily="34" charset="0"/>
                    <a:ea typeface="Verdana" panose="020B0604030504040204" pitchFamily="34" charset="0"/>
                    <a:cs typeface="Verdana" panose="020B0604030504040204" pitchFamily="34" charset="0"/>
                  </a:rPr>
                  <a:t>$ per Student</a:t>
                </a:r>
              </a:p>
            </c:rich>
          </c:tx>
          <c:layout>
            <c:manualLayout>
              <c:xMode val="edge"/>
              <c:yMode val="edge"/>
              <c:x val="0.34183025171992781"/>
              <c:y val="0.90815561623905794"/>
            </c:manualLayout>
          </c:layout>
          <c:spPr>
            <a:noFill/>
            <a:ln>
              <a:noFill/>
            </a:ln>
            <a:effectLst/>
          </c:spPr>
        </c:title>
        <c:numFmt formatCode="General" sourceLinked="0"/>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71267712"/>
        <c:crosses val="autoZero"/>
        <c:auto val="1"/>
        <c:lblAlgn val="ctr"/>
        <c:lblOffset val="100"/>
      </c:catAx>
      <c:valAx>
        <c:axId val="271267712"/>
        <c:scaling>
          <c:orientation val="minMax"/>
        </c:scaling>
        <c:axPos val="l"/>
        <c:majorGridlines>
          <c:spPr>
            <a:ln w="9525" cap="flat" cmpd="sng" algn="ctr">
              <a:noFill/>
              <a:prstDash val="solid"/>
              <a:round/>
            </a:ln>
            <a:effectLst/>
          </c:spPr>
        </c:majorGridlines>
        <c:numFmt formatCode="General"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71265792"/>
        <c:crosses val="autoZero"/>
        <c:crossBetween val="between"/>
        <c:majorUnit val="4"/>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en-U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3930764225502454"/>
          <c:y val="3.5273991186357503E-2"/>
          <c:w val="0.73117569217497003"/>
          <c:h val="0.52851239079336865"/>
        </c:manualLayout>
      </c:layout>
      <c:barChart>
        <c:barDir val="col"/>
        <c:grouping val="clustered"/>
        <c:ser>
          <c:idx val="0"/>
          <c:order val="0"/>
          <c:spPr>
            <a:solidFill>
              <a:schemeClr val="accent1"/>
            </a:solidFill>
            <a:ln>
              <a:noFill/>
            </a:ln>
            <a:effectLst/>
          </c:spPr>
          <c:cat>
            <c:strRef>
              <c:f>Sheet2!$D$118:$K$118</c:f>
              <c:strCache>
                <c:ptCount val="8"/>
                <c:pt idx="0">
                  <c:v>&lt; $0</c:v>
                </c:pt>
                <c:pt idx="1">
                  <c:v>$1-$200</c:v>
                </c:pt>
                <c:pt idx="2">
                  <c:v>$201-$400</c:v>
                </c:pt>
                <c:pt idx="3">
                  <c:v>$401-$600</c:v>
                </c:pt>
                <c:pt idx="4">
                  <c:v>$601-$800</c:v>
                </c:pt>
                <c:pt idx="5">
                  <c:v>$801-$1000</c:v>
                </c:pt>
                <c:pt idx="6">
                  <c:v>$1001-$1200</c:v>
                </c:pt>
                <c:pt idx="7">
                  <c:v>&gt; $1200</c:v>
                </c:pt>
              </c:strCache>
            </c:strRef>
          </c:cat>
          <c:val>
            <c:numRef>
              <c:f>Sheet2!$D$119:$K$119</c:f>
              <c:numCache>
                <c:formatCode>General</c:formatCode>
                <c:ptCount val="8"/>
                <c:pt idx="0">
                  <c:v>1</c:v>
                </c:pt>
                <c:pt idx="1">
                  <c:v>5</c:v>
                </c:pt>
                <c:pt idx="2">
                  <c:v>10</c:v>
                </c:pt>
                <c:pt idx="3">
                  <c:v>2</c:v>
                </c:pt>
                <c:pt idx="4">
                  <c:v>2</c:v>
                </c:pt>
                <c:pt idx="5">
                  <c:v>2</c:v>
                </c:pt>
                <c:pt idx="6">
                  <c:v>1</c:v>
                </c:pt>
                <c:pt idx="7">
                  <c:v>4</c:v>
                </c:pt>
              </c:numCache>
            </c:numRef>
          </c:val>
        </c:ser>
        <c:gapWidth val="50"/>
        <c:axId val="271295232"/>
        <c:axId val="271297152"/>
        <c:extLst/>
      </c:barChart>
      <c:catAx>
        <c:axId val="271295232"/>
        <c:scaling>
          <c:orientation val="minMax"/>
        </c:scaling>
        <c:axPos val="b"/>
        <c:title>
          <c:tx>
            <c:rich>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US" sz="800">
                    <a:latin typeface="Verdana" panose="020B0604030504040204" pitchFamily="34" charset="0"/>
                    <a:ea typeface="Verdana" panose="020B0604030504040204" pitchFamily="34" charset="0"/>
                    <a:cs typeface="Verdana" panose="020B0604030504040204" pitchFamily="34" charset="0"/>
                  </a:rPr>
                  <a:t>$ per Student</a:t>
                </a:r>
              </a:p>
            </c:rich>
          </c:tx>
          <c:layout>
            <c:manualLayout>
              <c:xMode val="edge"/>
              <c:yMode val="edge"/>
              <c:x val="0.37154241513682723"/>
              <c:y val="0.92737692307692177"/>
            </c:manualLayout>
          </c:layout>
          <c:spPr>
            <a:noFill/>
            <a:ln>
              <a:noFill/>
            </a:ln>
            <a:effectLst/>
          </c:spPr>
        </c:title>
        <c:numFmt formatCode="General" sourceLinked="0"/>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71297152"/>
        <c:crosses val="autoZero"/>
        <c:auto val="1"/>
        <c:lblAlgn val="ctr"/>
        <c:lblOffset val="100"/>
      </c:catAx>
      <c:valAx>
        <c:axId val="271297152"/>
        <c:scaling>
          <c:orientation val="minMax"/>
        </c:scaling>
        <c:axPos val="l"/>
        <c:majorGridlines>
          <c:spPr>
            <a:ln w="9525" cap="flat" cmpd="sng" algn="ctr">
              <a:noFill/>
              <a:prstDash val="solid"/>
              <a:round/>
            </a:ln>
            <a:effectLst/>
          </c:spPr>
        </c:majorGridlines>
        <c:numFmt formatCode="General"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71295232"/>
        <c:crosses val="autoZero"/>
        <c:crossBetween val="between"/>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en-US"/>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147113469509155"/>
          <c:y val="6.7399086532527033E-2"/>
          <c:w val="0.75191322323647736"/>
          <c:h val="0.51044519587799286"/>
        </c:manualLayout>
      </c:layout>
      <c:barChart>
        <c:barDir val="col"/>
        <c:grouping val="stacked"/>
        <c:ser>
          <c:idx val="0"/>
          <c:order val="0"/>
          <c:tx>
            <c:strRef>
              <c:f>IS!$DE$14</c:f>
              <c:strCache>
                <c:ptCount val="1"/>
                <c:pt idx="0">
                  <c:v>Secondary Schools</c:v>
                </c:pt>
              </c:strCache>
            </c:strRef>
          </c:tx>
          <c:spPr>
            <a:solidFill>
              <a:schemeClr val="accent1"/>
            </a:solidFill>
            <a:ln>
              <a:noFill/>
            </a:ln>
            <a:effectLst/>
          </c:spPr>
          <c:cat>
            <c:strRef>
              <c:f>IS!$DG$18:$DP$18</c:f>
              <c:strCache>
                <c:ptCount val="10"/>
                <c:pt idx="0">
                  <c:v>Decile 1</c:v>
                </c:pt>
                <c:pt idx="1">
                  <c:v>Decile 2</c:v>
                </c:pt>
                <c:pt idx="2">
                  <c:v>Decile 3</c:v>
                </c:pt>
                <c:pt idx="3">
                  <c:v>Decile 4</c:v>
                </c:pt>
                <c:pt idx="4">
                  <c:v>Decile 5</c:v>
                </c:pt>
                <c:pt idx="5">
                  <c:v>Decile 6</c:v>
                </c:pt>
                <c:pt idx="6">
                  <c:v>Decile 7</c:v>
                </c:pt>
                <c:pt idx="7">
                  <c:v>Decile 8</c:v>
                </c:pt>
                <c:pt idx="8">
                  <c:v>Decile 9</c:v>
                </c:pt>
                <c:pt idx="9">
                  <c:v>Decile 10</c:v>
                </c:pt>
              </c:strCache>
            </c:strRef>
          </c:cat>
          <c:val>
            <c:numRef>
              <c:f>IS!$DG$14:$DP$14</c:f>
              <c:numCache>
                <c:formatCode>General</c:formatCode>
                <c:ptCount val="10"/>
                <c:pt idx="0">
                  <c:v>0</c:v>
                </c:pt>
                <c:pt idx="1">
                  <c:v>1</c:v>
                </c:pt>
                <c:pt idx="2">
                  <c:v>5</c:v>
                </c:pt>
                <c:pt idx="3">
                  <c:v>6</c:v>
                </c:pt>
                <c:pt idx="4">
                  <c:v>10</c:v>
                </c:pt>
                <c:pt idx="5">
                  <c:v>14</c:v>
                </c:pt>
                <c:pt idx="6">
                  <c:v>21</c:v>
                </c:pt>
                <c:pt idx="7">
                  <c:v>17</c:v>
                </c:pt>
                <c:pt idx="8">
                  <c:v>25</c:v>
                </c:pt>
                <c:pt idx="9">
                  <c:v>16</c:v>
                </c:pt>
              </c:numCache>
            </c:numRef>
          </c:val>
        </c:ser>
        <c:ser>
          <c:idx val="1"/>
          <c:order val="1"/>
          <c:tx>
            <c:strRef>
              <c:f>IS!$DE$15</c:f>
              <c:strCache>
                <c:ptCount val="1"/>
                <c:pt idx="0">
                  <c:v>Primary and Intermediate</c:v>
                </c:pt>
              </c:strCache>
            </c:strRef>
          </c:tx>
          <c:spPr>
            <a:solidFill>
              <a:schemeClr val="accent3"/>
            </a:solidFill>
            <a:ln>
              <a:noFill/>
            </a:ln>
            <a:effectLst/>
          </c:spPr>
          <c:cat>
            <c:strRef>
              <c:f>IS!$DG$18:$DP$18</c:f>
              <c:strCache>
                <c:ptCount val="10"/>
                <c:pt idx="0">
                  <c:v>Decile 1</c:v>
                </c:pt>
                <c:pt idx="1">
                  <c:v>Decile 2</c:v>
                </c:pt>
                <c:pt idx="2">
                  <c:v>Decile 3</c:v>
                </c:pt>
                <c:pt idx="3">
                  <c:v>Decile 4</c:v>
                </c:pt>
                <c:pt idx="4">
                  <c:v>Decile 5</c:v>
                </c:pt>
                <c:pt idx="5">
                  <c:v>Decile 6</c:v>
                </c:pt>
                <c:pt idx="6">
                  <c:v>Decile 7</c:v>
                </c:pt>
                <c:pt idx="7">
                  <c:v>Decile 8</c:v>
                </c:pt>
                <c:pt idx="8">
                  <c:v>Decile 9</c:v>
                </c:pt>
                <c:pt idx="9">
                  <c:v>Decile 10</c:v>
                </c:pt>
              </c:strCache>
            </c:strRef>
          </c:cat>
          <c:val>
            <c:numRef>
              <c:f>IS!$DG$15:$DP$15</c:f>
              <c:numCache>
                <c:formatCode>General</c:formatCode>
                <c:ptCount val="10"/>
                <c:pt idx="0">
                  <c:v>0</c:v>
                </c:pt>
                <c:pt idx="1">
                  <c:v>0</c:v>
                </c:pt>
                <c:pt idx="2">
                  <c:v>0</c:v>
                </c:pt>
                <c:pt idx="3">
                  <c:v>0</c:v>
                </c:pt>
                <c:pt idx="4">
                  <c:v>0</c:v>
                </c:pt>
                <c:pt idx="5">
                  <c:v>0</c:v>
                </c:pt>
                <c:pt idx="6">
                  <c:v>1</c:v>
                </c:pt>
                <c:pt idx="7">
                  <c:v>1</c:v>
                </c:pt>
                <c:pt idx="8">
                  <c:v>0</c:v>
                </c:pt>
                <c:pt idx="9">
                  <c:v>4</c:v>
                </c:pt>
              </c:numCache>
            </c:numRef>
          </c:val>
        </c:ser>
        <c:ser>
          <c:idx val="2"/>
          <c:order val="2"/>
          <c:tx>
            <c:strRef>
              <c:f>IS!$DE$16</c:f>
              <c:strCache>
                <c:ptCount val="1"/>
                <c:pt idx="0">
                  <c:v>Other</c:v>
                </c:pt>
              </c:strCache>
            </c:strRef>
          </c:tx>
          <c:spPr>
            <a:solidFill>
              <a:schemeClr val="accent5"/>
            </a:solidFill>
            <a:ln>
              <a:noFill/>
            </a:ln>
            <a:effectLst/>
          </c:spPr>
          <c:cat>
            <c:strRef>
              <c:f>IS!$DG$18:$DP$18</c:f>
              <c:strCache>
                <c:ptCount val="10"/>
                <c:pt idx="0">
                  <c:v>Decile 1</c:v>
                </c:pt>
                <c:pt idx="1">
                  <c:v>Decile 2</c:v>
                </c:pt>
                <c:pt idx="2">
                  <c:v>Decile 3</c:v>
                </c:pt>
                <c:pt idx="3">
                  <c:v>Decile 4</c:v>
                </c:pt>
                <c:pt idx="4">
                  <c:v>Decile 5</c:v>
                </c:pt>
                <c:pt idx="5">
                  <c:v>Decile 6</c:v>
                </c:pt>
                <c:pt idx="6">
                  <c:v>Decile 7</c:v>
                </c:pt>
                <c:pt idx="7">
                  <c:v>Decile 8</c:v>
                </c:pt>
                <c:pt idx="8">
                  <c:v>Decile 9</c:v>
                </c:pt>
                <c:pt idx="9">
                  <c:v>Decile 10</c:v>
                </c:pt>
              </c:strCache>
            </c:strRef>
          </c:cat>
          <c:val>
            <c:numRef>
              <c:f>IS!$DG$16:$DP$16</c:f>
              <c:numCache>
                <c:formatCode>General</c:formatCode>
                <c:ptCount val="10"/>
                <c:pt idx="0">
                  <c:v>0</c:v>
                </c:pt>
                <c:pt idx="1">
                  <c:v>0</c:v>
                </c:pt>
                <c:pt idx="2">
                  <c:v>0</c:v>
                </c:pt>
                <c:pt idx="3">
                  <c:v>0</c:v>
                </c:pt>
                <c:pt idx="4">
                  <c:v>1</c:v>
                </c:pt>
                <c:pt idx="5">
                  <c:v>0</c:v>
                </c:pt>
                <c:pt idx="6">
                  <c:v>0</c:v>
                </c:pt>
                <c:pt idx="7">
                  <c:v>1</c:v>
                </c:pt>
                <c:pt idx="8">
                  <c:v>3</c:v>
                </c:pt>
                <c:pt idx="9">
                  <c:v>1</c:v>
                </c:pt>
              </c:numCache>
            </c:numRef>
          </c:val>
        </c:ser>
        <c:gapWidth val="219"/>
        <c:overlap val="100"/>
        <c:axId val="267802112"/>
        <c:axId val="267803648"/>
      </c:barChart>
      <c:lineChart>
        <c:grouping val="standard"/>
        <c:ser>
          <c:idx val="3"/>
          <c:order val="3"/>
          <c:tx>
            <c:v>Average number of International Students</c:v>
          </c:tx>
          <c:spPr>
            <a:ln w="28575" cap="rnd">
              <a:noFill/>
              <a:round/>
            </a:ln>
            <a:effectLst/>
          </c:spPr>
          <c:marker>
            <c:symbol val="circle"/>
            <c:size val="5"/>
            <c:spPr>
              <a:solidFill>
                <a:schemeClr val="tx1"/>
              </a:solidFill>
              <a:ln w="952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IS!$DG$11:$DP$11</c:f>
              <c:numCache>
                <c:formatCode>0</c:formatCode>
                <c:ptCount val="10"/>
                <c:pt idx="0">
                  <c:v>0</c:v>
                </c:pt>
                <c:pt idx="1">
                  <c:v>20</c:v>
                </c:pt>
                <c:pt idx="2">
                  <c:v>37.200000000000003</c:v>
                </c:pt>
                <c:pt idx="3">
                  <c:v>63.333333333333336</c:v>
                </c:pt>
                <c:pt idx="4">
                  <c:v>35.200000000000003</c:v>
                </c:pt>
                <c:pt idx="5">
                  <c:v>40.142857142857153</c:v>
                </c:pt>
                <c:pt idx="6">
                  <c:v>48.636363636363626</c:v>
                </c:pt>
                <c:pt idx="7">
                  <c:v>45.111111111111114</c:v>
                </c:pt>
                <c:pt idx="8">
                  <c:v>74.11999999999999</c:v>
                </c:pt>
                <c:pt idx="9">
                  <c:v>61.75</c:v>
                </c:pt>
              </c:numCache>
            </c:numRef>
          </c:val>
        </c:ser>
        <c:marker val="1"/>
        <c:axId val="267811840"/>
        <c:axId val="267809920"/>
      </c:lineChart>
      <c:catAx>
        <c:axId val="267802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7803648"/>
        <c:crosses val="autoZero"/>
        <c:auto val="1"/>
        <c:lblAlgn val="ctr"/>
        <c:lblOffset val="100"/>
      </c:catAx>
      <c:valAx>
        <c:axId val="267803648"/>
        <c:scaling>
          <c:orientation val="minMax"/>
        </c:scaling>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NZ"/>
                  <a:t>Number of Schools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7802112"/>
        <c:crosses val="autoZero"/>
        <c:crossBetween val="between"/>
      </c:valAx>
      <c:valAx>
        <c:axId val="267809920"/>
        <c:scaling>
          <c:orientation val="minMax"/>
        </c:scaling>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NZ"/>
                  <a:t>Average</a:t>
                </a:r>
                <a:r>
                  <a:rPr lang="en-NZ" baseline="0"/>
                  <a:t> International Students</a:t>
                </a:r>
                <a:endParaRPr lang="en-NZ"/>
              </a:p>
            </c:rich>
          </c:tx>
          <c:spPr>
            <a:noFill/>
            <a:ln>
              <a:noFill/>
            </a:ln>
            <a:effectLst/>
          </c:spPr>
        </c:title>
        <c:numFmt formatCode="0" sourceLinked="1"/>
        <c:tickLblPos val="nextTo"/>
        <c:spPr>
          <a:solidFill>
            <a:schemeClr val="bg1"/>
          </a:solidFill>
          <a:ln>
            <a:solidFill>
              <a:schemeClr val="bg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7811840"/>
        <c:crosses val="max"/>
        <c:crossBetween val="between"/>
      </c:valAx>
      <c:catAx>
        <c:axId val="267811840"/>
        <c:scaling>
          <c:orientation val="minMax"/>
        </c:scaling>
        <c:delete val="1"/>
        <c:axPos val="b"/>
        <c:tickLblPos val="none"/>
        <c:crossAx val="267809920"/>
        <c:crosses val="autoZero"/>
        <c:auto val="1"/>
        <c:lblAlgn val="ctr"/>
        <c:lblOffset val="100"/>
      </c:catAx>
      <c:spPr>
        <a:noFill/>
        <a:ln>
          <a:noFill/>
        </a:ln>
        <a:effectLst/>
      </c:spPr>
    </c:plotArea>
    <c:legend>
      <c:legendPos val="b"/>
      <c:layout>
        <c:manualLayout>
          <c:xMode val="edge"/>
          <c:yMode val="edge"/>
          <c:x val="0"/>
          <c:y val="0.78782399275272696"/>
          <c:w val="1"/>
          <c:h val="0.1818729889950732"/>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3971133192629073"/>
          <c:y val="7.2507718144427413E-2"/>
          <c:w val="0.82770800152816593"/>
          <c:h val="0.47323417906095122"/>
        </c:manualLayout>
      </c:layout>
      <c:barChart>
        <c:barDir val="col"/>
        <c:grouping val="stacked"/>
        <c:ser>
          <c:idx val="2"/>
          <c:order val="0"/>
          <c:tx>
            <c:v>Count</c:v>
          </c:tx>
          <c:spPr>
            <a:solidFill>
              <a:schemeClr val="accent1"/>
            </a:solidFill>
            <a:ln>
              <a:noFill/>
            </a:ln>
            <a:effectLst/>
          </c:spPr>
          <c:cat>
            <c:strRef>
              <c:f>IS!$DE$43:$DM$43</c:f>
              <c:strCache>
                <c:ptCount val="9"/>
                <c:pt idx="0">
                  <c:v>&lt; 10.0%</c:v>
                </c:pt>
                <c:pt idx="1">
                  <c:v>10.0% to 20.0%</c:v>
                </c:pt>
                <c:pt idx="2">
                  <c:v>20.0% to 30.0%</c:v>
                </c:pt>
                <c:pt idx="3">
                  <c:v>30.0% to 40.0%</c:v>
                </c:pt>
                <c:pt idx="4">
                  <c:v>40.0% to 50.0%</c:v>
                </c:pt>
                <c:pt idx="5">
                  <c:v>50.0% to 60.0%</c:v>
                </c:pt>
                <c:pt idx="6">
                  <c:v>60.0% to 70.0%</c:v>
                </c:pt>
                <c:pt idx="7">
                  <c:v>70.0% to 80.0%</c:v>
                </c:pt>
                <c:pt idx="8">
                  <c:v>80.0% to 90.0%</c:v>
                </c:pt>
              </c:strCache>
              <c:extLst>
                <c:ext xmlns:c15="http://schemas.microsoft.com/office/drawing/2012/chart" uri="{02D57815-91ED-43cb-92C2-25804820EDAC}">
                  <c15:fullRef>
                    <c15:sqref>IS!$DE$43:$DO$43</c15:sqref>
                  </c15:fullRef>
                </c:ext>
              </c:extLst>
            </c:strRef>
          </c:cat>
          <c:val>
            <c:numRef>
              <c:f>IS!$DE$37:$DM$37</c:f>
              <c:numCache>
                <c:formatCode>General</c:formatCode>
                <c:ptCount val="9"/>
                <c:pt idx="0">
                  <c:v>4</c:v>
                </c:pt>
                <c:pt idx="1">
                  <c:v>5</c:v>
                </c:pt>
                <c:pt idx="2">
                  <c:v>12</c:v>
                </c:pt>
                <c:pt idx="3">
                  <c:v>8</c:v>
                </c:pt>
                <c:pt idx="4">
                  <c:v>22</c:v>
                </c:pt>
                <c:pt idx="5">
                  <c:v>21</c:v>
                </c:pt>
                <c:pt idx="6">
                  <c:v>15</c:v>
                </c:pt>
                <c:pt idx="7">
                  <c:v>8</c:v>
                </c:pt>
                <c:pt idx="8">
                  <c:v>2</c:v>
                </c:pt>
              </c:numCache>
              <c:extLst>
                <c:ext xmlns:c15="http://schemas.microsoft.com/office/drawing/2012/chart" uri="{02D57815-91ED-43cb-92C2-25804820EDAC}">
                  <c15:fullRef>
                    <c15:sqref>IS!$DE$37:$DP$37</c15:sqref>
                  </c15:fullRef>
                </c:ext>
              </c:extLst>
            </c:numRef>
          </c:val>
        </c:ser>
        <c:overlap val="100"/>
        <c:axId val="267844608"/>
        <c:axId val="267858688"/>
      </c:barChart>
      <c:catAx>
        <c:axId val="267844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7858688"/>
        <c:crosses val="autoZero"/>
        <c:auto val="1"/>
        <c:lblAlgn val="ctr"/>
        <c:lblOffset val="100"/>
      </c:catAx>
      <c:valAx>
        <c:axId val="267858688"/>
        <c:scaling>
          <c:orientation val="minMax"/>
        </c:scaling>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NZ"/>
                  <a:t>Number of Schools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784460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3224540901502552"/>
          <c:y val="6.5258980785296572E-2"/>
          <c:w val="0.65902045202676496"/>
          <c:h val="0.6414480646059596"/>
        </c:manualLayout>
      </c:layout>
      <c:barChart>
        <c:barDir val="col"/>
        <c:grouping val="percentStacked"/>
        <c:ser>
          <c:idx val="1"/>
          <c:order val="0"/>
          <c:tx>
            <c:strRef>
              <c:f>SummaryStats!$I$1566</c:f>
              <c:strCache>
                <c:ptCount val="1"/>
                <c:pt idx="0">
                  <c:v>Expenditure on Learning Resources</c:v>
                </c:pt>
              </c:strCache>
            </c:strRef>
          </c:tx>
          <c:spPr>
            <a:solidFill>
              <a:schemeClr val="accent1"/>
            </a:solidFill>
          </c:spPr>
          <c:cat>
            <c:strRef>
              <c:f>SummaryStats!$C$1567:$C$1581</c:f>
              <c:strCache>
                <c:ptCount val="15"/>
                <c:pt idx="0">
                  <c:v>Up to 25</c:v>
                </c:pt>
                <c:pt idx="1">
                  <c:v>26-55</c:v>
                </c:pt>
                <c:pt idx="2">
                  <c:v>56-85</c:v>
                </c:pt>
                <c:pt idx="3">
                  <c:v>86-115</c:v>
                </c:pt>
                <c:pt idx="4">
                  <c:v>116-145</c:v>
                </c:pt>
                <c:pt idx="5">
                  <c:v>146-175</c:v>
                </c:pt>
                <c:pt idx="6">
                  <c:v>176-205</c:v>
                </c:pt>
                <c:pt idx="7">
                  <c:v>206-235</c:v>
                </c:pt>
                <c:pt idx="8">
                  <c:v>236-265</c:v>
                </c:pt>
                <c:pt idx="9">
                  <c:v>266-295</c:v>
                </c:pt>
                <c:pt idx="10">
                  <c:v>296-325</c:v>
                </c:pt>
                <c:pt idx="11">
                  <c:v>326-355</c:v>
                </c:pt>
                <c:pt idx="12">
                  <c:v>356-385</c:v>
                </c:pt>
                <c:pt idx="13">
                  <c:v>386-415</c:v>
                </c:pt>
                <c:pt idx="14">
                  <c:v>over 415</c:v>
                </c:pt>
              </c:strCache>
            </c:strRef>
          </c:cat>
          <c:val>
            <c:numRef>
              <c:f>SummaryStats!$I$1567:$I$1581</c:f>
              <c:numCache>
                <c:formatCode>_(* #,##0.00_);_(* \(#,##0.00\);_(* "-"??_);_(@_)</c:formatCode>
                <c:ptCount val="15"/>
                <c:pt idx="0">
                  <c:v>19000336</c:v>
                </c:pt>
                <c:pt idx="1">
                  <c:v>64130395</c:v>
                </c:pt>
                <c:pt idx="2">
                  <c:v>60719914</c:v>
                </c:pt>
                <c:pt idx="3">
                  <c:v>80016672</c:v>
                </c:pt>
                <c:pt idx="4">
                  <c:v>97091176</c:v>
                </c:pt>
                <c:pt idx="5">
                  <c:v>119899384</c:v>
                </c:pt>
                <c:pt idx="6">
                  <c:v>90667262</c:v>
                </c:pt>
                <c:pt idx="7">
                  <c:v>122981152</c:v>
                </c:pt>
                <c:pt idx="8">
                  <c:v>101401180</c:v>
                </c:pt>
                <c:pt idx="9">
                  <c:v>97353893</c:v>
                </c:pt>
                <c:pt idx="10">
                  <c:v>108443581</c:v>
                </c:pt>
                <c:pt idx="11">
                  <c:v>119401733</c:v>
                </c:pt>
                <c:pt idx="12">
                  <c:v>99846129</c:v>
                </c:pt>
                <c:pt idx="13">
                  <c:v>92547403</c:v>
                </c:pt>
                <c:pt idx="14">
                  <c:v>829529523</c:v>
                </c:pt>
              </c:numCache>
            </c:numRef>
          </c:val>
        </c:ser>
        <c:ser>
          <c:idx val="0"/>
          <c:order val="1"/>
          <c:tx>
            <c:strRef>
              <c:f>SummaryStats!$G$1566</c:f>
              <c:strCache>
                <c:ptCount val="1"/>
                <c:pt idx="0">
                  <c:v>Administration Expenses (incl. Finance)</c:v>
                </c:pt>
              </c:strCache>
            </c:strRef>
          </c:tx>
          <c:spPr>
            <a:solidFill>
              <a:schemeClr val="accent2"/>
            </a:solidFill>
          </c:spPr>
          <c:cat>
            <c:strRef>
              <c:f>SummaryStats!$C$1567:$C$1581</c:f>
              <c:strCache>
                <c:ptCount val="15"/>
                <c:pt idx="0">
                  <c:v>Up to 25</c:v>
                </c:pt>
                <c:pt idx="1">
                  <c:v>26-55</c:v>
                </c:pt>
                <c:pt idx="2">
                  <c:v>56-85</c:v>
                </c:pt>
                <c:pt idx="3">
                  <c:v>86-115</c:v>
                </c:pt>
                <c:pt idx="4">
                  <c:v>116-145</c:v>
                </c:pt>
                <c:pt idx="5">
                  <c:v>146-175</c:v>
                </c:pt>
                <c:pt idx="6">
                  <c:v>176-205</c:v>
                </c:pt>
                <c:pt idx="7">
                  <c:v>206-235</c:v>
                </c:pt>
                <c:pt idx="8">
                  <c:v>236-265</c:v>
                </c:pt>
                <c:pt idx="9">
                  <c:v>266-295</c:v>
                </c:pt>
                <c:pt idx="10">
                  <c:v>296-325</c:v>
                </c:pt>
                <c:pt idx="11">
                  <c:v>326-355</c:v>
                </c:pt>
                <c:pt idx="12">
                  <c:v>356-385</c:v>
                </c:pt>
                <c:pt idx="13">
                  <c:v>386-415</c:v>
                </c:pt>
                <c:pt idx="14">
                  <c:v>over 415</c:v>
                </c:pt>
              </c:strCache>
            </c:strRef>
          </c:cat>
          <c:val>
            <c:numRef>
              <c:f>SummaryStats!$G$1567:$G$1581</c:f>
              <c:numCache>
                <c:formatCode>_(* #,##0.00_);_(* \(#,##0.00\);_(* "-"??_);_(@_)</c:formatCode>
                <c:ptCount val="15"/>
                <c:pt idx="0">
                  <c:v>3792890</c:v>
                </c:pt>
                <c:pt idx="1">
                  <c:v>10797725</c:v>
                </c:pt>
                <c:pt idx="2">
                  <c:v>8389502</c:v>
                </c:pt>
                <c:pt idx="3">
                  <c:v>9883515</c:v>
                </c:pt>
                <c:pt idx="4">
                  <c:v>10902365</c:v>
                </c:pt>
                <c:pt idx="5">
                  <c:v>12593907</c:v>
                </c:pt>
                <c:pt idx="6">
                  <c:v>9465861</c:v>
                </c:pt>
                <c:pt idx="7">
                  <c:v>12170829</c:v>
                </c:pt>
                <c:pt idx="8">
                  <c:v>10065153</c:v>
                </c:pt>
                <c:pt idx="9">
                  <c:v>9305126</c:v>
                </c:pt>
                <c:pt idx="10">
                  <c:v>9769928</c:v>
                </c:pt>
                <c:pt idx="11">
                  <c:v>11139429</c:v>
                </c:pt>
                <c:pt idx="12">
                  <c:v>9197063</c:v>
                </c:pt>
                <c:pt idx="13">
                  <c:v>7919506</c:v>
                </c:pt>
                <c:pt idx="14">
                  <c:v>72466058</c:v>
                </c:pt>
              </c:numCache>
            </c:numRef>
          </c:val>
        </c:ser>
        <c:ser>
          <c:idx val="2"/>
          <c:order val="2"/>
          <c:tx>
            <c:strRef>
              <c:f>SummaryStats!$K$1566</c:f>
              <c:strCache>
                <c:ptCount val="1"/>
                <c:pt idx="0">
                  <c:v>Property Expenses</c:v>
                </c:pt>
              </c:strCache>
            </c:strRef>
          </c:tx>
          <c:spPr>
            <a:solidFill>
              <a:schemeClr val="accent3"/>
            </a:solidFill>
          </c:spPr>
          <c:cat>
            <c:strRef>
              <c:f>SummaryStats!$C$1567:$C$1581</c:f>
              <c:strCache>
                <c:ptCount val="15"/>
                <c:pt idx="0">
                  <c:v>Up to 25</c:v>
                </c:pt>
                <c:pt idx="1">
                  <c:v>26-55</c:v>
                </c:pt>
                <c:pt idx="2">
                  <c:v>56-85</c:v>
                </c:pt>
                <c:pt idx="3">
                  <c:v>86-115</c:v>
                </c:pt>
                <c:pt idx="4">
                  <c:v>116-145</c:v>
                </c:pt>
                <c:pt idx="5">
                  <c:v>146-175</c:v>
                </c:pt>
                <c:pt idx="6">
                  <c:v>176-205</c:v>
                </c:pt>
                <c:pt idx="7">
                  <c:v>206-235</c:v>
                </c:pt>
                <c:pt idx="8">
                  <c:v>236-265</c:v>
                </c:pt>
                <c:pt idx="9">
                  <c:v>266-295</c:v>
                </c:pt>
                <c:pt idx="10">
                  <c:v>296-325</c:v>
                </c:pt>
                <c:pt idx="11">
                  <c:v>326-355</c:v>
                </c:pt>
                <c:pt idx="12">
                  <c:v>356-385</c:v>
                </c:pt>
                <c:pt idx="13">
                  <c:v>386-415</c:v>
                </c:pt>
                <c:pt idx="14">
                  <c:v>over 415</c:v>
                </c:pt>
              </c:strCache>
            </c:strRef>
          </c:cat>
          <c:val>
            <c:numRef>
              <c:f>SummaryStats!$K$1567:$K$1581</c:f>
              <c:numCache>
                <c:formatCode>_(* #,##0.00_);_(* \(#,##0.00\);_(* "-"??_);_(@_)</c:formatCode>
                <c:ptCount val="15"/>
                <c:pt idx="0">
                  <c:v>2767214</c:v>
                </c:pt>
                <c:pt idx="1">
                  <c:v>8200241</c:v>
                </c:pt>
                <c:pt idx="2">
                  <c:v>7283659</c:v>
                </c:pt>
                <c:pt idx="3">
                  <c:v>8630665</c:v>
                </c:pt>
                <c:pt idx="4">
                  <c:v>9631135</c:v>
                </c:pt>
                <c:pt idx="5">
                  <c:v>11895230</c:v>
                </c:pt>
                <c:pt idx="6">
                  <c:v>9032668</c:v>
                </c:pt>
                <c:pt idx="7">
                  <c:v>12918394</c:v>
                </c:pt>
                <c:pt idx="8">
                  <c:v>9890780</c:v>
                </c:pt>
                <c:pt idx="9">
                  <c:v>9338937</c:v>
                </c:pt>
                <c:pt idx="10">
                  <c:v>11151000</c:v>
                </c:pt>
                <c:pt idx="11">
                  <c:v>11548550</c:v>
                </c:pt>
                <c:pt idx="12">
                  <c:v>9688538</c:v>
                </c:pt>
                <c:pt idx="13">
                  <c:v>8817372</c:v>
                </c:pt>
                <c:pt idx="14">
                  <c:v>73522493</c:v>
                </c:pt>
              </c:numCache>
            </c:numRef>
          </c:val>
        </c:ser>
        <c:ser>
          <c:idx val="3"/>
          <c:order val="3"/>
          <c:tx>
            <c:strRef>
              <c:f>SummaryStats!$M$1566</c:f>
              <c:strCache>
                <c:ptCount val="1"/>
                <c:pt idx="0">
                  <c:v>All Other Expenses</c:v>
                </c:pt>
              </c:strCache>
            </c:strRef>
          </c:tx>
          <c:spPr>
            <a:solidFill>
              <a:schemeClr val="accent4"/>
            </a:solidFill>
          </c:spPr>
          <c:cat>
            <c:strRef>
              <c:f>SummaryStats!$C$1567:$C$1581</c:f>
              <c:strCache>
                <c:ptCount val="15"/>
                <c:pt idx="0">
                  <c:v>Up to 25</c:v>
                </c:pt>
                <c:pt idx="1">
                  <c:v>26-55</c:v>
                </c:pt>
                <c:pt idx="2">
                  <c:v>56-85</c:v>
                </c:pt>
                <c:pt idx="3">
                  <c:v>86-115</c:v>
                </c:pt>
                <c:pt idx="4">
                  <c:v>116-145</c:v>
                </c:pt>
                <c:pt idx="5">
                  <c:v>146-175</c:v>
                </c:pt>
                <c:pt idx="6">
                  <c:v>176-205</c:v>
                </c:pt>
                <c:pt idx="7">
                  <c:v>206-235</c:v>
                </c:pt>
                <c:pt idx="8">
                  <c:v>236-265</c:v>
                </c:pt>
                <c:pt idx="9">
                  <c:v>266-295</c:v>
                </c:pt>
                <c:pt idx="10">
                  <c:v>296-325</c:v>
                </c:pt>
                <c:pt idx="11">
                  <c:v>326-355</c:v>
                </c:pt>
                <c:pt idx="12">
                  <c:v>356-385</c:v>
                </c:pt>
                <c:pt idx="13">
                  <c:v>386-415</c:v>
                </c:pt>
                <c:pt idx="14">
                  <c:v>over 415</c:v>
                </c:pt>
              </c:strCache>
            </c:strRef>
          </c:cat>
          <c:val>
            <c:numRef>
              <c:f>SummaryStats!$M$1567:$M$1581</c:f>
              <c:numCache>
                <c:formatCode>_(* #,##0.00_);_(* \(#,##0.00\);_(* "-"??_);_(@_)</c:formatCode>
                <c:ptCount val="15"/>
                <c:pt idx="0">
                  <c:v>2199926</c:v>
                </c:pt>
                <c:pt idx="1">
                  <c:v>7280921</c:v>
                </c:pt>
                <c:pt idx="2">
                  <c:v>5562970</c:v>
                </c:pt>
                <c:pt idx="3">
                  <c:v>7009061</c:v>
                </c:pt>
                <c:pt idx="4">
                  <c:v>8218092</c:v>
                </c:pt>
                <c:pt idx="5">
                  <c:v>9855045</c:v>
                </c:pt>
                <c:pt idx="6">
                  <c:v>7430594</c:v>
                </c:pt>
                <c:pt idx="7">
                  <c:v>9723682</c:v>
                </c:pt>
                <c:pt idx="8">
                  <c:v>8105484</c:v>
                </c:pt>
                <c:pt idx="9">
                  <c:v>8100339</c:v>
                </c:pt>
                <c:pt idx="10">
                  <c:v>8447894</c:v>
                </c:pt>
                <c:pt idx="11">
                  <c:v>10091810</c:v>
                </c:pt>
                <c:pt idx="12">
                  <c:v>9357714</c:v>
                </c:pt>
                <c:pt idx="13">
                  <c:v>8000875</c:v>
                </c:pt>
                <c:pt idx="14">
                  <c:v>83309033</c:v>
                </c:pt>
              </c:numCache>
            </c:numRef>
          </c:val>
        </c:ser>
        <c:gapWidth val="40"/>
        <c:overlap val="100"/>
        <c:axId val="267892992"/>
        <c:axId val="267907456"/>
        <c:extLst/>
      </c:barChart>
      <c:catAx>
        <c:axId val="267892992"/>
        <c:scaling>
          <c:orientation val="minMax"/>
        </c:scaling>
        <c:axPos val="b"/>
        <c:title>
          <c:tx>
            <c:rich>
              <a:bodyPr/>
              <a:lstStyle/>
              <a:p>
                <a:pPr>
                  <a:defRPr/>
                </a:pPr>
                <a:r>
                  <a:rPr lang="en-NZ"/>
                  <a:t>Student Roll Sizes</a:t>
                </a:r>
              </a:p>
            </c:rich>
          </c:tx>
          <c:layout>
            <c:manualLayout>
              <c:xMode val="edge"/>
              <c:yMode val="edge"/>
              <c:x val="0.33127643294379538"/>
              <c:y val="0.91280005569479417"/>
            </c:manualLayout>
          </c:layout>
        </c:title>
        <c:numFmt formatCode="General" sourceLinked="0"/>
        <c:majorTickMark val="none"/>
        <c:tickLblPos val="nextTo"/>
        <c:txPr>
          <a:bodyPr rot="-5400000" vert="horz"/>
          <a:lstStyle/>
          <a:p>
            <a:pPr>
              <a:defRPr/>
            </a:pPr>
            <a:endParaRPr lang="en-US"/>
          </a:p>
        </c:txPr>
        <c:crossAx val="267907456"/>
        <c:crosses val="autoZero"/>
        <c:auto val="1"/>
        <c:lblAlgn val="ctr"/>
        <c:lblOffset val="100"/>
      </c:catAx>
      <c:valAx>
        <c:axId val="267907456"/>
        <c:scaling>
          <c:orientation val="minMax"/>
          <c:max val="1"/>
        </c:scaling>
        <c:axPos val="l"/>
        <c:majorGridlines>
          <c:spPr>
            <a:ln>
              <a:noFill/>
            </a:ln>
          </c:spPr>
        </c:majorGridlines>
        <c:numFmt formatCode="0%" sourceLinked="0"/>
        <c:majorTickMark val="none"/>
        <c:tickLblPos val="nextTo"/>
        <c:crossAx val="267892992"/>
        <c:crosses val="autoZero"/>
        <c:crossBetween val="between"/>
      </c:valAx>
    </c:plotArea>
    <c:legend>
      <c:legendPos val="r"/>
      <c:layout>
        <c:manualLayout>
          <c:xMode val="edge"/>
          <c:yMode val="edge"/>
          <c:x val="0.79224951458760662"/>
          <c:y val="0.19704643553327819"/>
          <c:w val="0.20775048541239471"/>
          <c:h val="0.68760883977138865"/>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NZ"/>
  <c:chart>
    <c:title>
      <c:tx>
        <c:rich>
          <a:bodyPr/>
          <a:lstStyle/>
          <a:p>
            <a:pPr>
              <a:defRPr sz="900"/>
            </a:pPr>
            <a:r>
              <a:rPr lang="en-NZ" sz="900"/>
              <a:t>Total Funding $3.27 billion</a:t>
            </a:r>
          </a:p>
        </c:rich>
      </c:tx>
      <c:layout>
        <c:manualLayout>
          <c:xMode val="edge"/>
          <c:yMode val="edge"/>
          <c:x val="2.3456941166409085E-3"/>
          <c:y val="0"/>
        </c:manualLayout>
      </c:layout>
    </c:title>
    <c:plotArea>
      <c:layout>
        <c:manualLayout>
          <c:layoutTarget val="inner"/>
          <c:xMode val="edge"/>
          <c:yMode val="edge"/>
          <c:x val="9.860538815963793E-2"/>
          <c:y val="0.15341104927204813"/>
          <c:w val="0.41670445893312963"/>
          <c:h val="0.84320325343947633"/>
        </c:manualLayout>
      </c:layout>
      <c:doughnutChart>
        <c:varyColors val="1"/>
        <c:ser>
          <c:idx val="0"/>
          <c:order val="0"/>
          <c:dLbls>
            <c:dLbl>
              <c:idx val="0"/>
              <c:layout>
                <c:manualLayout>
                  <c:x val="2.4136370493287072E-2"/>
                  <c:y val="-0.37240537240537241"/>
                </c:manualLayout>
              </c:layout>
              <c:showPercent val="1"/>
            </c:dLbl>
            <c:dLbl>
              <c:idx val="1"/>
              <c:layout>
                <c:manualLayout>
                  <c:x val="-8.7494343038165667E-2"/>
                  <c:y val="0.10906612133606028"/>
                </c:manualLayout>
              </c:layout>
              <c:showPercent val="1"/>
            </c:dLbl>
            <c:dLbl>
              <c:idx val="2"/>
              <c:layout>
                <c:manualLayout>
                  <c:x val="-0.10559662090813141"/>
                  <c:y val="-6.8166325835037594E-2"/>
                </c:manualLayout>
              </c:layout>
              <c:showPercent val="1"/>
            </c:dLbl>
            <c:dLbl>
              <c:idx val="3"/>
              <c:layout>
                <c:manualLayout>
                  <c:x val="-8.4477004244968151E-2"/>
                  <c:y val="-0.11261319328935634"/>
                </c:manualLayout>
              </c:layout>
              <c:showPercent val="1"/>
            </c:dLbl>
            <c:dLbl>
              <c:idx val="4"/>
              <c:layout>
                <c:manualLayout>
                  <c:x val="-5.7323935966781536E-2"/>
                  <c:y val="-0.14650888951526919"/>
                </c:manualLayout>
              </c:layout>
              <c:numFmt formatCode="0.0%" sourceLinked="0"/>
              <c:spPr>
                <a:noFill/>
                <a:ln>
                  <a:noFill/>
                </a:ln>
                <a:effectLst/>
              </c:spPr>
              <c:txPr>
                <a:bodyPr/>
                <a:lstStyle/>
                <a:p>
                  <a:pPr>
                    <a:defRPr sz="800"/>
                  </a:pPr>
                  <a:endParaRPr lang="en-US"/>
                </a:p>
              </c:txPr>
              <c:showPercent val="1"/>
            </c:dLbl>
            <c:dLbl>
              <c:idx val="5"/>
              <c:layout>
                <c:manualLayout>
                  <c:x val="-1.5085231558304419E-2"/>
                  <c:y val="-0.18925518925518944"/>
                </c:manualLayout>
              </c:layout>
              <c:numFmt formatCode="0.0%" sourceLinked="0"/>
              <c:spPr>
                <a:noFill/>
                <a:ln>
                  <a:noFill/>
                </a:ln>
                <a:effectLst/>
              </c:spPr>
              <c:txPr>
                <a:bodyPr/>
                <a:lstStyle/>
                <a:p>
                  <a:pPr>
                    <a:defRPr sz="800"/>
                  </a:pPr>
                  <a:endParaRPr lang="en-US"/>
                </a:p>
              </c:txPr>
              <c:showPercent val="1"/>
            </c:dLbl>
            <c:dLbl>
              <c:idx val="6"/>
              <c:layout>
                <c:manualLayout>
                  <c:x val="1.2068185246643567E-2"/>
                  <c:y val="-0.17296251430109696"/>
                </c:manualLayout>
              </c:layout>
              <c:showPercent val="1"/>
            </c:dLbl>
            <c:spPr>
              <a:noFill/>
              <a:ln>
                <a:noFill/>
              </a:ln>
              <a:effectLst/>
            </c:spPr>
            <c:txPr>
              <a:bodyPr/>
              <a:lstStyle/>
              <a:p>
                <a:pPr>
                  <a:defRPr sz="800"/>
                </a:pPr>
                <a:endParaRPr lang="en-US"/>
              </a:p>
            </c:txPr>
            <c:showPercent val="1"/>
            <c:extLst>
              <c:ext xmlns:c15="http://schemas.microsoft.com/office/drawing/2012/chart" uri="{CE6537A1-D6FC-4f65-9D91-7224C49458BB}"/>
            </c:extLst>
          </c:dLbls>
          <c:cat>
            <c:strRef>
              <c:f>SummaryStats!$B$209:$B$215</c:f>
              <c:strCache>
                <c:ptCount val="7"/>
                <c:pt idx="0">
                  <c:v>Teachers salaries grants</c:v>
                </c:pt>
                <c:pt idx="1">
                  <c:v> Use of land and buildings</c:v>
                </c:pt>
                <c:pt idx="2">
                  <c:v>Operational grants</c:v>
                </c:pt>
                <c:pt idx="3">
                  <c:v>Other govt grants</c:v>
                </c:pt>
                <c:pt idx="4">
                  <c:v>Locally raised (excl. international students)</c:v>
                </c:pt>
                <c:pt idx="5">
                  <c:v>International students</c:v>
                </c:pt>
                <c:pt idx="6">
                  <c:v>Other</c:v>
                </c:pt>
              </c:strCache>
            </c:strRef>
          </c:cat>
          <c:val>
            <c:numRef>
              <c:f>SummaryStats!$F$209:$F$215</c:f>
              <c:numCache>
                <c:formatCode>_(* #,##0_);_(* \(#,##0\);_(* "-"??_);_(@_)</c:formatCode>
                <c:ptCount val="7"/>
                <c:pt idx="0">
                  <c:v>1740943766</c:v>
                </c:pt>
                <c:pt idx="1">
                  <c:v>528258399</c:v>
                </c:pt>
                <c:pt idx="2">
                  <c:v>655383428</c:v>
                </c:pt>
                <c:pt idx="3">
                  <c:v>96219590</c:v>
                </c:pt>
                <c:pt idx="4">
                  <c:v>20952881</c:v>
                </c:pt>
                <c:pt idx="5">
                  <c:v>13573777</c:v>
                </c:pt>
                <c:pt idx="6">
                  <c:v>216828774</c:v>
                </c:pt>
              </c:numCache>
            </c:numRef>
          </c:val>
        </c:ser>
        <c:firstSliceAng val="0"/>
        <c:holeSize val="44"/>
      </c:doughnutChart>
    </c:plotArea>
    <c:legend>
      <c:legendPos val="r"/>
      <c:layout>
        <c:manualLayout>
          <c:xMode val="edge"/>
          <c:yMode val="edge"/>
          <c:x val="0.55689507107529912"/>
          <c:y val="5.1123447019499897E-2"/>
          <c:w val="0.44310485442658459"/>
          <c:h val="0.94412888044166898"/>
        </c:manualLayout>
      </c:layout>
      <c:txPr>
        <a:bodyPr/>
        <a:lstStyle/>
        <a:p>
          <a:pPr rtl="0">
            <a:defRPr sz="80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zero"/>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5708774483408691"/>
          <c:y val="5.6417432470064054E-2"/>
          <c:w val="0.63675139108348922"/>
          <c:h val="0.66450397107802672"/>
        </c:manualLayout>
      </c:layout>
      <c:barChart>
        <c:barDir val="col"/>
        <c:grouping val="stacked"/>
        <c:ser>
          <c:idx val="1"/>
          <c:order val="0"/>
          <c:tx>
            <c:strRef>
              <c:f>SummaryStats!$I$1764</c:f>
              <c:strCache>
                <c:ptCount val="1"/>
                <c:pt idx="0">
                  <c:v>Expenditure on Learning Resources</c:v>
                </c:pt>
              </c:strCache>
            </c:strRef>
          </c:tx>
          <c:spPr>
            <a:solidFill>
              <a:schemeClr val="accent1"/>
            </a:solidFill>
          </c:spPr>
          <c:cat>
            <c:strRef>
              <c:f>SummaryStats!$C$1765:$C$1779</c:f>
              <c:strCache>
                <c:ptCount val="15"/>
                <c:pt idx="0">
                  <c:v>Up to 25</c:v>
                </c:pt>
                <c:pt idx="1">
                  <c:v>26-55</c:v>
                </c:pt>
                <c:pt idx="2">
                  <c:v>56-85</c:v>
                </c:pt>
                <c:pt idx="3">
                  <c:v>86-115</c:v>
                </c:pt>
                <c:pt idx="4">
                  <c:v>116-145</c:v>
                </c:pt>
                <c:pt idx="5">
                  <c:v>146-175</c:v>
                </c:pt>
                <c:pt idx="6">
                  <c:v>176-205</c:v>
                </c:pt>
                <c:pt idx="7">
                  <c:v>206-235</c:v>
                </c:pt>
                <c:pt idx="8">
                  <c:v>236-265</c:v>
                </c:pt>
                <c:pt idx="9">
                  <c:v>266-295</c:v>
                </c:pt>
                <c:pt idx="10">
                  <c:v>296-325</c:v>
                </c:pt>
                <c:pt idx="11">
                  <c:v>326-355</c:v>
                </c:pt>
                <c:pt idx="12">
                  <c:v>356-385</c:v>
                </c:pt>
                <c:pt idx="13">
                  <c:v>386-415</c:v>
                </c:pt>
                <c:pt idx="14">
                  <c:v>over 415</c:v>
                </c:pt>
              </c:strCache>
            </c:strRef>
          </c:cat>
          <c:val>
            <c:numRef>
              <c:f>SummaryStats!$I$1765:$I$1779</c:f>
              <c:numCache>
                <c:formatCode>_(* #,##0.00_);_(* \(#,##0.00\);_(* "-"??_);_(@_)</c:formatCode>
                <c:ptCount val="15"/>
                <c:pt idx="0">
                  <c:v>10716.48956570784</c:v>
                </c:pt>
                <c:pt idx="1">
                  <c:v>7565.2229562345174</c:v>
                </c:pt>
                <c:pt idx="2">
                  <c:v>6263.0133058277461</c:v>
                </c:pt>
                <c:pt idx="3">
                  <c:v>5875.8020267293432</c:v>
                </c:pt>
                <c:pt idx="4">
                  <c:v>5692.8276751685744</c:v>
                </c:pt>
                <c:pt idx="5">
                  <c:v>5698.6399239543734</c:v>
                </c:pt>
                <c:pt idx="6">
                  <c:v>5329.6062779214744</c:v>
                </c:pt>
                <c:pt idx="7">
                  <c:v>5362.3943490014844</c:v>
                </c:pt>
                <c:pt idx="8">
                  <c:v>5385.0865639936374</c:v>
                </c:pt>
                <c:pt idx="9">
                  <c:v>5233.798881780549</c:v>
                </c:pt>
                <c:pt idx="10">
                  <c:v>5047.8788344272234</c:v>
                </c:pt>
                <c:pt idx="11">
                  <c:v>5002.7960363682114</c:v>
                </c:pt>
                <c:pt idx="12">
                  <c:v>4922.8936495414755</c:v>
                </c:pt>
                <c:pt idx="13">
                  <c:v>5048.4073205323975</c:v>
                </c:pt>
                <c:pt idx="14">
                  <c:v>4789.7909369640911</c:v>
                </c:pt>
              </c:numCache>
            </c:numRef>
          </c:val>
        </c:ser>
        <c:ser>
          <c:idx val="0"/>
          <c:order val="1"/>
          <c:tx>
            <c:strRef>
              <c:f>SummaryStats!$G$1764</c:f>
              <c:strCache>
                <c:ptCount val="1"/>
                <c:pt idx="0">
                  <c:v>Administration Expenses (incl. Finance)</c:v>
                </c:pt>
              </c:strCache>
            </c:strRef>
          </c:tx>
          <c:spPr>
            <a:solidFill>
              <a:schemeClr val="accent2"/>
            </a:solidFill>
          </c:spPr>
          <c:cat>
            <c:strRef>
              <c:f>SummaryStats!$C$1765:$C$1779</c:f>
              <c:strCache>
                <c:ptCount val="15"/>
                <c:pt idx="0">
                  <c:v>Up to 25</c:v>
                </c:pt>
                <c:pt idx="1">
                  <c:v>26-55</c:v>
                </c:pt>
                <c:pt idx="2">
                  <c:v>56-85</c:v>
                </c:pt>
                <c:pt idx="3">
                  <c:v>86-115</c:v>
                </c:pt>
                <c:pt idx="4">
                  <c:v>116-145</c:v>
                </c:pt>
                <c:pt idx="5">
                  <c:v>146-175</c:v>
                </c:pt>
                <c:pt idx="6">
                  <c:v>176-205</c:v>
                </c:pt>
                <c:pt idx="7">
                  <c:v>206-235</c:v>
                </c:pt>
                <c:pt idx="8">
                  <c:v>236-265</c:v>
                </c:pt>
                <c:pt idx="9">
                  <c:v>266-295</c:v>
                </c:pt>
                <c:pt idx="10">
                  <c:v>296-325</c:v>
                </c:pt>
                <c:pt idx="11">
                  <c:v>326-355</c:v>
                </c:pt>
                <c:pt idx="12">
                  <c:v>356-385</c:v>
                </c:pt>
                <c:pt idx="13">
                  <c:v>386-415</c:v>
                </c:pt>
                <c:pt idx="14">
                  <c:v>over 415</c:v>
                </c:pt>
              </c:strCache>
            </c:strRef>
          </c:cat>
          <c:val>
            <c:numRef>
              <c:f>SummaryStats!$G$1765:$G$1779</c:f>
              <c:numCache>
                <c:formatCode>_(* #,##0.00_);_(* \(#,##0.00\);_(* "-"??_);_(@_)</c:formatCode>
                <c:ptCount val="15"/>
                <c:pt idx="0">
                  <c:v>2139.2498589960487</c:v>
                </c:pt>
                <c:pt idx="1">
                  <c:v>1273.7672525657663</c:v>
                </c:pt>
                <c:pt idx="2">
                  <c:v>865.34316658071032</c:v>
                </c:pt>
                <c:pt idx="3">
                  <c:v>725.7684682038481</c:v>
                </c:pt>
                <c:pt idx="4">
                  <c:v>639.24743476986305</c:v>
                </c:pt>
                <c:pt idx="5">
                  <c:v>598.56972433460078</c:v>
                </c:pt>
                <c:pt idx="6">
                  <c:v>556.42258405831183</c:v>
                </c:pt>
                <c:pt idx="7">
                  <c:v>530.68932589168924</c:v>
                </c:pt>
                <c:pt idx="8">
                  <c:v>534.52750929368028</c:v>
                </c:pt>
                <c:pt idx="9">
                  <c:v>500.24869630665017</c:v>
                </c:pt>
                <c:pt idx="10">
                  <c:v>454.77484522645892</c:v>
                </c:pt>
                <c:pt idx="11">
                  <c:v>466.72933338919825</c:v>
                </c:pt>
                <c:pt idx="12">
                  <c:v>453.45937284291415</c:v>
                </c:pt>
                <c:pt idx="13">
                  <c:v>432.00447305258564</c:v>
                </c:pt>
                <c:pt idx="14">
                  <c:v>418.42666019966902</c:v>
                </c:pt>
              </c:numCache>
            </c:numRef>
          </c:val>
        </c:ser>
        <c:ser>
          <c:idx val="2"/>
          <c:order val="2"/>
          <c:tx>
            <c:strRef>
              <c:f>SummaryStats!$K$1764</c:f>
              <c:strCache>
                <c:ptCount val="1"/>
                <c:pt idx="0">
                  <c:v>Property Expenses</c:v>
                </c:pt>
              </c:strCache>
            </c:strRef>
          </c:tx>
          <c:spPr>
            <a:solidFill>
              <a:schemeClr val="accent3"/>
            </a:solidFill>
          </c:spPr>
          <c:cat>
            <c:strRef>
              <c:f>SummaryStats!$C$1765:$C$1779</c:f>
              <c:strCache>
                <c:ptCount val="15"/>
                <c:pt idx="0">
                  <c:v>Up to 25</c:v>
                </c:pt>
                <c:pt idx="1">
                  <c:v>26-55</c:v>
                </c:pt>
                <c:pt idx="2">
                  <c:v>56-85</c:v>
                </c:pt>
                <c:pt idx="3">
                  <c:v>86-115</c:v>
                </c:pt>
                <c:pt idx="4">
                  <c:v>116-145</c:v>
                </c:pt>
                <c:pt idx="5">
                  <c:v>146-175</c:v>
                </c:pt>
                <c:pt idx="6">
                  <c:v>176-205</c:v>
                </c:pt>
                <c:pt idx="7">
                  <c:v>206-235</c:v>
                </c:pt>
                <c:pt idx="8">
                  <c:v>236-265</c:v>
                </c:pt>
                <c:pt idx="9">
                  <c:v>266-295</c:v>
                </c:pt>
                <c:pt idx="10">
                  <c:v>296-325</c:v>
                </c:pt>
                <c:pt idx="11">
                  <c:v>326-355</c:v>
                </c:pt>
                <c:pt idx="12">
                  <c:v>356-385</c:v>
                </c:pt>
                <c:pt idx="13">
                  <c:v>386-415</c:v>
                </c:pt>
                <c:pt idx="14">
                  <c:v>over 415</c:v>
                </c:pt>
              </c:strCache>
            </c:strRef>
          </c:cat>
          <c:val>
            <c:numRef>
              <c:f>SummaryStats!$K$1765:$K$1779</c:f>
              <c:numCache>
                <c:formatCode>_(* #,##0.00_);_(* \(#,##0.00\);_(* "-"??_);_(@_)</c:formatCode>
                <c:ptCount val="15"/>
                <c:pt idx="0">
                  <c:v>1560.752397067118</c:v>
                </c:pt>
                <c:pt idx="1">
                  <c:v>967.35177539223787</c:v>
                </c:pt>
                <c:pt idx="2">
                  <c:v>751.27993811242914</c:v>
                </c:pt>
                <c:pt idx="3">
                  <c:v>633.76890879718053</c:v>
                </c:pt>
                <c:pt idx="4">
                  <c:v>564.71034887129872</c:v>
                </c:pt>
                <c:pt idx="5">
                  <c:v>565.36264258554934</c:v>
                </c:pt>
                <c:pt idx="6">
                  <c:v>530.95861744650836</c:v>
                </c:pt>
                <c:pt idx="7">
                  <c:v>563.28568936949659</c:v>
                </c:pt>
                <c:pt idx="8">
                  <c:v>525.26712692511808</c:v>
                </c:pt>
                <c:pt idx="9">
                  <c:v>502.06639427987699</c:v>
                </c:pt>
                <c:pt idx="10">
                  <c:v>519.06158357771255</c:v>
                </c:pt>
                <c:pt idx="11">
                  <c:v>483.87103532073576</c:v>
                </c:pt>
                <c:pt idx="12">
                  <c:v>477.69145054728205</c:v>
                </c:pt>
                <c:pt idx="13">
                  <c:v>480.98254418503171</c:v>
                </c:pt>
                <c:pt idx="14">
                  <c:v>424.52662728726699</c:v>
                </c:pt>
              </c:numCache>
            </c:numRef>
          </c:val>
        </c:ser>
        <c:ser>
          <c:idx val="3"/>
          <c:order val="3"/>
          <c:tx>
            <c:strRef>
              <c:f>SummaryStats!$M$1764</c:f>
              <c:strCache>
                <c:ptCount val="1"/>
                <c:pt idx="0">
                  <c:v>All Other Expenses</c:v>
                </c:pt>
              </c:strCache>
            </c:strRef>
          </c:tx>
          <c:spPr>
            <a:solidFill>
              <a:schemeClr val="accent4"/>
            </a:solidFill>
          </c:spPr>
          <c:cat>
            <c:strRef>
              <c:f>SummaryStats!$C$1765:$C$1779</c:f>
              <c:strCache>
                <c:ptCount val="15"/>
                <c:pt idx="0">
                  <c:v>Up to 25</c:v>
                </c:pt>
                <c:pt idx="1">
                  <c:v>26-55</c:v>
                </c:pt>
                <c:pt idx="2">
                  <c:v>56-85</c:v>
                </c:pt>
                <c:pt idx="3">
                  <c:v>86-115</c:v>
                </c:pt>
                <c:pt idx="4">
                  <c:v>116-145</c:v>
                </c:pt>
                <c:pt idx="5">
                  <c:v>146-175</c:v>
                </c:pt>
                <c:pt idx="6">
                  <c:v>176-205</c:v>
                </c:pt>
                <c:pt idx="7">
                  <c:v>206-235</c:v>
                </c:pt>
                <c:pt idx="8">
                  <c:v>236-265</c:v>
                </c:pt>
                <c:pt idx="9">
                  <c:v>266-295</c:v>
                </c:pt>
                <c:pt idx="10">
                  <c:v>296-325</c:v>
                </c:pt>
                <c:pt idx="11">
                  <c:v>326-355</c:v>
                </c:pt>
                <c:pt idx="12">
                  <c:v>356-385</c:v>
                </c:pt>
                <c:pt idx="13">
                  <c:v>386-415</c:v>
                </c:pt>
                <c:pt idx="14">
                  <c:v>over 415</c:v>
                </c:pt>
              </c:strCache>
            </c:strRef>
          </c:cat>
          <c:val>
            <c:numRef>
              <c:f>SummaryStats!$M$1765:$M$1779</c:f>
              <c:numCache>
                <c:formatCode>_(* #,##0.00_);_(* \(#,##0.00\);_(* "-"??_);_(@_)</c:formatCode>
                <c:ptCount val="15"/>
                <c:pt idx="0">
                  <c:v>1240.7930062041728</c:v>
                </c:pt>
                <c:pt idx="1">
                  <c:v>858.90303173292443</c:v>
                </c:pt>
                <c:pt idx="2">
                  <c:v>573.79783393501805</c:v>
                </c:pt>
                <c:pt idx="3">
                  <c:v>514.69092377735353</c:v>
                </c:pt>
                <c:pt idx="4">
                  <c:v>481.85822339489908</c:v>
                </c:pt>
                <c:pt idx="5">
                  <c:v>468.39567490494301</c:v>
                </c:pt>
                <c:pt idx="6">
                  <c:v>436.78544556783424</c:v>
                </c:pt>
                <c:pt idx="7">
                  <c:v>423.98543646986963</c:v>
                </c:pt>
                <c:pt idx="8">
                  <c:v>430.45586829527343</c:v>
                </c:pt>
                <c:pt idx="9">
                  <c:v>435.47868394172355</c:v>
                </c:pt>
                <c:pt idx="10">
                  <c:v>393.23623330074929</c:v>
                </c:pt>
                <c:pt idx="11">
                  <c:v>422.83529559643034</c:v>
                </c:pt>
                <c:pt idx="12">
                  <c:v>461.38023863524302</c:v>
                </c:pt>
                <c:pt idx="13">
                  <c:v>436.44310495308673</c:v>
                </c:pt>
                <c:pt idx="14">
                  <c:v>481.03514120574874</c:v>
                </c:pt>
              </c:numCache>
            </c:numRef>
          </c:val>
        </c:ser>
        <c:gapWidth val="50"/>
        <c:overlap val="100"/>
        <c:axId val="271374208"/>
        <c:axId val="271396864"/>
        <c:extLst/>
      </c:barChart>
      <c:catAx>
        <c:axId val="271374208"/>
        <c:scaling>
          <c:orientation val="minMax"/>
        </c:scaling>
        <c:axPos val="b"/>
        <c:title>
          <c:tx>
            <c:rich>
              <a:bodyPr/>
              <a:lstStyle/>
              <a:p>
                <a:pPr>
                  <a:defRPr/>
                </a:pPr>
                <a:r>
                  <a:rPr lang="en-NZ"/>
                  <a:t>School Roll Sizes</a:t>
                </a:r>
              </a:p>
            </c:rich>
          </c:tx>
          <c:layout>
            <c:manualLayout>
              <c:xMode val="edge"/>
              <c:yMode val="edge"/>
              <c:x val="0.34600004637358561"/>
              <c:y val="0.93837440824282925"/>
            </c:manualLayout>
          </c:layout>
        </c:title>
        <c:numFmt formatCode="General" sourceLinked="0"/>
        <c:majorTickMark val="none"/>
        <c:tickLblPos val="nextTo"/>
        <c:txPr>
          <a:bodyPr rot="-5400000" vert="horz"/>
          <a:lstStyle/>
          <a:p>
            <a:pPr>
              <a:defRPr/>
            </a:pPr>
            <a:endParaRPr lang="en-US"/>
          </a:p>
        </c:txPr>
        <c:crossAx val="271396864"/>
        <c:crosses val="autoZero"/>
        <c:auto val="1"/>
        <c:lblAlgn val="ctr"/>
        <c:lblOffset val="100"/>
      </c:catAx>
      <c:valAx>
        <c:axId val="271396864"/>
        <c:scaling>
          <c:orientation val="minMax"/>
        </c:scaling>
        <c:axPos val="l"/>
        <c:majorGridlines>
          <c:spPr>
            <a:ln>
              <a:noFill/>
            </a:ln>
          </c:spPr>
        </c:majorGridlines>
        <c:numFmt formatCode="&quot;$&quot;#,##0" sourceLinked="0"/>
        <c:majorTickMark val="none"/>
        <c:tickLblPos val="nextTo"/>
        <c:crossAx val="271374208"/>
        <c:crosses val="autoZero"/>
        <c:crossBetween val="between"/>
      </c:valAx>
    </c:plotArea>
    <c:legend>
      <c:legendPos val="r"/>
      <c:layout>
        <c:manualLayout>
          <c:xMode val="edge"/>
          <c:yMode val="edge"/>
          <c:x val="0.7995423959239204"/>
          <c:y val="0.22357107937733178"/>
          <c:w val="0.20045760407607796"/>
          <c:h val="0.67995749001300176"/>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4174666110183676"/>
          <c:y val="9.112449978650973E-2"/>
          <c:w val="0.64720505357290725"/>
          <c:h val="0.75300252216827168"/>
        </c:manualLayout>
      </c:layout>
      <c:barChart>
        <c:barDir val="col"/>
        <c:grouping val="percentStacked"/>
        <c:ser>
          <c:idx val="0"/>
          <c:order val="0"/>
          <c:tx>
            <c:strRef>
              <c:f>SummaryStats!$I$1591</c:f>
              <c:strCache>
                <c:ptCount val="1"/>
                <c:pt idx="0">
                  <c:v>Expenditure on Learning Resources</c:v>
                </c:pt>
              </c:strCache>
            </c:strRef>
          </c:tx>
          <c:spPr>
            <a:solidFill>
              <a:schemeClr val="accent1"/>
            </a:solidFill>
          </c:spPr>
          <c:cat>
            <c:numRef>
              <c:f>SummaryStats!$B$1592:$B$1601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SummaryStats!$I$1592:$I$1601</c:f>
              <c:numCache>
                <c:formatCode>_(* #,##0.00_);_(* \(#,##0.00\);_(* "-"??_);_(@_)</c:formatCode>
                <c:ptCount val="10"/>
                <c:pt idx="0">
                  <c:v>208488536</c:v>
                </c:pt>
                <c:pt idx="1">
                  <c:v>178741385</c:v>
                </c:pt>
                <c:pt idx="2">
                  <c:v>180118462</c:v>
                </c:pt>
                <c:pt idx="3">
                  <c:v>185230599</c:v>
                </c:pt>
                <c:pt idx="4">
                  <c:v>207092358</c:v>
                </c:pt>
                <c:pt idx="5">
                  <c:v>158789606</c:v>
                </c:pt>
                <c:pt idx="6">
                  <c:v>218913848</c:v>
                </c:pt>
                <c:pt idx="7">
                  <c:v>230551922</c:v>
                </c:pt>
                <c:pt idx="8">
                  <c:v>233184712</c:v>
                </c:pt>
                <c:pt idx="9">
                  <c:v>301918305</c:v>
                </c:pt>
              </c:numCache>
            </c:numRef>
          </c:val>
        </c:ser>
        <c:ser>
          <c:idx val="3"/>
          <c:order val="1"/>
          <c:tx>
            <c:strRef>
              <c:f>SummaryStats!$G$1591</c:f>
              <c:strCache>
                <c:ptCount val="1"/>
                <c:pt idx="0">
                  <c:v>Administration Expenses (incl. Finance)</c:v>
                </c:pt>
              </c:strCache>
            </c:strRef>
          </c:tx>
          <c:spPr>
            <a:solidFill>
              <a:schemeClr val="accent2"/>
            </a:solidFill>
          </c:spPr>
          <c:cat>
            <c:numRef>
              <c:f>SummaryStats!$B$1592:$B$1601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SummaryStats!$G$1592:$G$1601</c:f>
              <c:numCache>
                <c:formatCode>_(* #,##0.00_);_(* \(#,##0.00\);_(* "-"??_);_(@_)</c:formatCode>
                <c:ptCount val="10"/>
                <c:pt idx="0">
                  <c:v>20748137</c:v>
                </c:pt>
                <c:pt idx="1">
                  <c:v>18361828</c:v>
                </c:pt>
                <c:pt idx="2">
                  <c:v>18304753</c:v>
                </c:pt>
                <c:pt idx="3">
                  <c:v>18021371</c:v>
                </c:pt>
                <c:pt idx="4">
                  <c:v>21050024</c:v>
                </c:pt>
                <c:pt idx="5">
                  <c:v>16131099</c:v>
                </c:pt>
                <c:pt idx="6">
                  <c:v>21279472</c:v>
                </c:pt>
                <c:pt idx="7">
                  <c:v>22457706</c:v>
                </c:pt>
                <c:pt idx="8">
                  <c:v>22930968</c:v>
                </c:pt>
                <c:pt idx="9">
                  <c:v>28573499</c:v>
                </c:pt>
              </c:numCache>
            </c:numRef>
          </c:val>
        </c:ser>
        <c:ser>
          <c:idx val="1"/>
          <c:order val="2"/>
          <c:tx>
            <c:strRef>
              <c:f>SummaryStats!$K$1591</c:f>
              <c:strCache>
                <c:ptCount val="1"/>
                <c:pt idx="0">
                  <c:v>Property Expenses</c:v>
                </c:pt>
              </c:strCache>
            </c:strRef>
          </c:tx>
          <c:spPr>
            <a:solidFill>
              <a:schemeClr val="accent3"/>
            </a:solidFill>
          </c:spPr>
          <c:cat>
            <c:numRef>
              <c:f>SummaryStats!$B$1592:$B$1601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SummaryStats!$K$1592:$K$1601</c:f>
              <c:numCache>
                <c:formatCode>_(* #,##0.00_);_(* \(#,##0.00\);_(* "-"??_);_(@_)</c:formatCode>
                <c:ptCount val="10"/>
                <c:pt idx="0">
                  <c:v>22394296</c:v>
                </c:pt>
                <c:pt idx="1">
                  <c:v>19236807</c:v>
                </c:pt>
                <c:pt idx="2">
                  <c:v>17816221</c:v>
                </c:pt>
                <c:pt idx="3">
                  <c:v>18380963</c:v>
                </c:pt>
                <c:pt idx="4">
                  <c:v>20519225</c:v>
                </c:pt>
                <c:pt idx="5">
                  <c:v>15596769</c:v>
                </c:pt>
                <c:pt idx="6">
                  <c:v>20580208</c:v>
                </c:pt>
                <c:pt idx="7">
                  <c:v>21024622</c:v>
                </c:pt>
                <c:pt idx="8">
                  <c:v>21473530</c:v>
                </c:pt>
                <c:pt idx="9">
                  <c:v>27294235</c:v>
                </c:pt>
              </c:numCache>
            </c:numRef>
          </c:val>
        </c:ser>
        <c:ser>
          <c:idx val="2"/>
          <c:order val="3"/>
          <c:tx>
            <c:strRef>
              <c:f>SummaryStats!$M$1591</c:f>
              <c:strCache>
                <c:ptCount val="1"/>
                <c:pt idx="0">
                  <c:v>All Other Expenses</c:v>
                </c:pt>
              </c:strCache>
            </c:strRef>
          </c:tx>
          <c:spPr>
            <a:solidFill>
              <a:schemeClr val="accent4"/>
            </a:solidFill>
          </c:spPr>
          <c:cat>
            <c:numRef>
              <c:f>SummaryStats!$B$1592:$B$1601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SummaryStats!$M$1592:$M$1601</c:f>
              <c:numCache>
                <c:formatCode>_(* #,##0.00_);_(* \(#,##0.00\);_(* "-"??_);_(@_)</c:formatCode>
                <c:ptCount val="10"/>
                <c:pt idx="0">
                  <c:v>15222345</c:v>
                </c:pt>
                <c:pt idx="1">
                  <c:v>13671258</c:v>
                </c:pt>
                <c:pt idx="2">
                  <c:v>13914897</c:v>
                </c:pt>
                <c:pt idx="3">
                  <c:v>14827986</c:v>
                </c:pt>
                <c:pt idx="4">
                  <c:v>20053154</c:v>
                </c:pt>
                <c:pt idx="5">
                  <c:v>13895587</c:v>
                </c:pt>
                <c:pt idx="6">
                  <c:v>20983306</c:v>
                </c:pt>
                <c:pt idx="7">
                  <c:v>21529241</c:v>
                </c:pt>
                <c:pt idx="8">
                  <c:v>24485549</c:v>
                </c:pt>
                <c:pt idx="9">
                  <c:v>34110117</c:v>
                </c:pt>
              </c:numCache>
            </c:numRef>
          </c:val>
        </c:ser>
        <c:gapWidth val="70"/>
        <c:overlap val="100"/>
        <c:axId val="271427072"/>
        <c:axId val="271428992"/>
        <c:extLst/>
      </c:barChart>
      <c:catAx>
        <c:axId val="271427072"/>
        <c:scaling>
          <c:orientation val="minMax"/>
        </c:scaling>
        <c:axPos val="b"/>
        <c:title>
          <c:tx>
            <c:rich>
              <a:bodyPr/>
              <a:lstStyle/>
              <a:p>
                <a:pPr>
                  <a:defRPr/>
                </a:pPr>
                <a:r>
                  <a:rPr lang="en-NZ"/>
                  <a:t>Decile</a:t>
                </a:r>
              </a:p>
            </c:rich>
          </c:tx>
          <c:layout>
            <c:manualLayout>
              <c:xMode val="edge"/>
              <c:yMode val="edge"/>
              <c:x val="0.39311560934891587"/>
              <c:y val="0.93048315232525758"/>
            </c:manualLayout>
          </c:layout>
        </c:title>
        <c:numFmt formatCode="General" sourceLinked="0"/>
        <c:majorTickMark val="none"/>
        <c:tickLblPos val="nextTo"/>
        <c:crossAx val="271428992"/>
        <c:crosses val="autoZero"/>
        <c:auto val="1"/>
        <c:lblAlgn val="ctr"/>
        <c:lblOffset val="100"/>
      </c:catAx>
      <c:valAx>
        <c:axId val="271428992"/>
        <c:scaling>
          <c:orientation val="minMax"/>
          <c:max val="1"/>
        </c:scaling>
        <c:axPos val="l"/>
        <c:majorGridlines>
          <c:spPr>
            <a:ln>
              <a:noFill/>
            </a:ln>
          </c:spPr>
        </c:majorGridlines>
        <c:numFmt formatCode="0%" sourceLinked="0"/>
        <c:majorTickMark val="none"/>
        <c:tickLblPos val="nextTo"/>
        <c:crossAx val="271427072"/>
        <c:crosses val="autoZero"/>
        <c:crossBetween val="between"/>
      </c:valAx>
    </c:plotArea>
    <c:legend>
      <c:legendPos val="r"/>
      <c:layout>
        <c:manualLayout>
          <c:xMode val="edge"/>
          <c:yMode val="edge"/>
          <c:x val="0.78768797556540682"/>
          <c:y val="0.20780746786883433"/>
          <c:w val="0.21231202443459321"/>
          <c:h val="0.71765492964739364"/>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lang val="en-NZ"/>
  <c:chart>
    <c:autoTitleDeleted val="1"/>
    <c:plotArea>
      <c:layout>
        <c:manualLayout>
          <c:layoutTarget val="inner"/>
          <c:xMode val="edge"/>
          <c:yMode val="edge"/>
          <c:x val="0.1544931367093311"/>
          <c:y val="8.4460804789752264E-2"/>
          <c:w val="0.62678527854597321"/>
          <c:h val="0.76677179058758282"/>
        </c:manualLayout>
      </c:layout>
      <c:barChart>
        <c:barDir val="col"/>
        <c:grouping val="stacked"/>
        <c:ser>
          <c:idx val="0"/>
          <c:order val="0"/>
          <c:tx>
            <c:strRef>
              <c:f>SummaryStats!$I$1789</c:f>
              <c:strCache>
                <c:ptCount val="1"/>
                <c:pt idx="0">
                  <c:v>Expenditure on Learning Resources</c:v>
                </c:pt>
              </c:strCache>
            </c:strRef>
          </c:tx>
          <c:spPr>
            <a:solidFill>
              <a:schemeClr val="accent1"/>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SummaryStats!$I$1790:$I$1799</c:f>
              <c:numCache>
                <c:formatCode>_(* #,##0.00_);_(* \(#,##0.00\);_(* "-"??_);_(@_)</c:formatCode>
                <c:ptCount val="10"/>
                <c:pt idx="0">
                  <c:v>5943.9085414528454</c:v>
                </c:pt>
                <c:pt idx="1">
                  <c:v>5597.5631028435428</c:v>
                </c:pt>
                <c:pt idx="2">
                  <c:v>5498.792953962633</c:v>
                </c:pt>
                <c:pt idx="3">
                  <c:v>5242.4249002349079</c:v>
                </c:pt>
                <c:pt idx="4">
                  <c:v>5161.0516373423716</c:v>
                </c:pt>
                <c:pt idx="5">
                  <c:v>5108.0745673293395</c:v>
                </c:pt>
                <c:pt idx="6">
                  <c:v>4942.2912358333024</c:v>
                </c:pt>
                <c:pt idx="7">
                  <c:v>5047.8821623278554</c:v>
                </c:pt>
                <c:pt idx="8">
                  <c:v>4905.0212873369792</c:v>
                </c:pt>
                <c:pt idx="9">
                  <c:v>4840.7616642616858</c:v>
                </c:pt>
              </c:numCache>
            </c:numRef>
          </c:val>
        </c:ser>
        <c:ser>
          <c:idx val="3"/>
          <c:order val="1"/>
          <c:tx>
            <c:strRef>
              <c:f>SummaryStats!$G$1789</c:f>
              <c:strCache>
                <c:ptCount val="1"/>
                <c:pt idx="0">
                  <c:v>Administration Expenses (incl. Finance)</c:v>
                </c:pt>
              </c:strCache>
            </c:strRef>
          </c:tx>
          <c:spPr>
            <a:solidFill>
              <a:schemeClr val="accent2"/>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SummaryStats!$G$1790:$G$1799</c:f>
              <c:numCache>
                <c:formatCode>_(* #,##0.00_);_(* \(#,##0.00\);_(* "-"??_);_(@_)</c:formatCode>
                <c:ptCount val="10"/>
                <c:pt idx="0">
                  <c:v>591.51947200364953</c:v>
                </c:pt>
                <c:pt idx="1">
                  <c:v>575.02906175623195</c:v>
                </c:pt>
                <c:pt idx="2">
                  <c:v>558.82137623641472</c:v>
                </c:pt>
                <c:pt idx="3">
                  <c:v>510.0436136189964</c:v>
                </c:pt>
                <c:pt idx="4">
                  <c:v>524.59811593480561</c:v>
                </c:pt>
                <c:pt idx="5">
                  <c:v>518.91845203628782</c:v>
                </c:pt>
                <c:pt idx="6">
                  <c:v>480.41432248159924</c:v>
                </c:pt>
                <c:pt idx="7">
                  <c:v>491.70639108444811</c:v>
                </c:pt>
                <c:pt idx="8">
                  <c:v>482.35103071098024</c:v>
                </c:pt>
                <c:pt idx="9">
                  <c:v>458.12889209555902</c:v>
                </c:pt>
              </c:numCache>
            </c:numRef>
          </c:val>
        </c:ser>
        <c:ser>
          <c:idx val="1"/>
          <c:order val="2"/>
          <c:tx>
            <c:strRef>
              <c:f>SummaryStats!$K$1789</c:f>
              <c:strCache>
                <c:ptCount val="1"/>
                <c:pt idx="0">
                  <c:v>Property Expenses</c:v>
                </c:pt>
              </c:strCache>
            </c:strRef>
          </c:tx>
          <c:spPr>
            <a:solidFill>
              <a:schemeClr val="accent3"/>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SummaryStats!$K$1790:$K$1799</c:f>
              <c:numCache>
                <c:formatCode>_(* #,##0.00_);_(* \(#,##0.00\);_(* "-"??_);_(@_)</c:formatCode>
                <c:ptCount val="10"/>
                <c:pt idx="0">
                  <c:v>638.45067852662805</c:v>
                </c:pt>
                <c:pt idx="1">
                  <c:v>602.43038331454341</c:v>
                </c:pt>
                <c:pt idx="2">
                  <c:v>543.90710098913178</c:v>
                </c:pt>
                <c:pt idx="3">
                  <c:v>520.22084170605513</c:v>
                </c:pt>
                <c:pt idx="4">
                  <c:v>511.36981009819073</c:v>
                </c:pt>
                <c:pt idx="5">
                  <c:v>501.72968538892138</c:v>
                </c:pt>
                <c:pt idx="6">
                  <c:v>464.62744389759337</c:v>
                </c:pt>
                <c:pt idx="7">
                  <c:v>460.329341186259</c:v>
                </c:pt>
                <c:pt idx="8">
                  <c:v>451.69394194362644</c:v>
                </c:pt>
                <c:pt idx="9">
                  <c:v>437.61800545133866</c:v>
                </c:pt>
              </c:numCache>
            </c:numRef>
          </c:val>
        </c:ser>
        <c:ser>
          <c:idx val="2"/>
          <c:order val="3"/>
          <c:tx>
            <c:strRef>
              <c:f>SummaryStats!$M$1789</c:f>
              <c:strCache>
                <c:ptCount val="1"/>
                <c:pt idx="0">
                  <c:v>All Other Expenses</c:v>
                </c:pt>
              </c:strCache>
            </c:strRef>
          </c:tx>
          <c:spPr>
            <a:solidFill>
              <a:schemeClr val="accent4"/>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SummaryStats!$M$1790:$M$1799</c:f>
              <c:numCache>
                <c:formatCode>_(* #,##0.00_);_(* \(#,##0.00\);_(* "-"??_);_(@_)</c:formatCode>
                <c:ptCount val="10"/>
                <c:pt idx="0">
                  <c:v>433.98178241532679</c:v>
                </c:pt>
                <c:pt idx="1">
                  <c:v>428.13660278090924</c:v>
                </c:pt>
                <c:pt idx="2">
                  <c:v>424.80452436194901</c:v>
                </c:pt>
                <c:pt idx="3">
                  <c:v>419.66394022585217</c:v>
                </c:pt>
                <c:pt idx="4">
                  <c:v>499.75462293774711</c:v>
                </c:pt>
                <c:pt idx="5">
                  <c:v>447.00466447918677</c:v>
                </c:pt>
                <c:pt idx="6">
                  <c:v>473.72795412471208</c:v>
                </c:pt>
                <c:pt idx="7">
                  <c:v>471.37786000481782</c:v>
                </c:pt>
                <c:pt idx="8">
                  <c:v>515.05151451409347</c:v>
                </c:pt>
                <c:pt idx="9">
                  <c:v>546.89942279942238</c:v>
                </c:pt>
              </c:numCache>
            </c:numRef>
          </c:val>
        </c:ser>
        <c:gapWidth val="50"/>
        <c:overlap val="100"/>
        <c:axId val="271459456"/>
        <c:axId val="271461376"/>
        <c:extLst/>
      </c:barChart>
      <c:catAx>
        <c:axId val="271459456"/>
        <c:scaling>
          <c:orientation val="minMax"/>
        </c:scaling>
        <c:axPos val="b"/>
        <c:title>
          <c:tx>
            <c:rich>
              <a:bodyPr/>
              <a:lstStyle/>
              <a:p>
                <a:pPr>
                  <a:defRPr/>
                </a:pPr>
                <a:r>
                  <a:rPr lang="en-NZ"/>
                  <a:t>Decile</a:t>
                </a:r>
              </a:p>
            </c:rich>
          </c:tx>
          <c:layout>
            <c:manualLayout>
              <c:xMode val="edge"/>
              <c:yMode val="edge"/>
              <c:x val="0.40194977740678905"/>
              <c:y val="0.92197333611807508"/>
            </c:manualLayout>
          </c:layout>
        </c:title>
        <c:numFmt formatCode="General" sourceLinked="0"/>
        <c:majorTickMark val="none"/>
        <c:tickLblPos val="nextTo"/>
        <c:crossAx val="271461376"/>
        <c:crosses val="autoZero"/>
        <c:auto val="1"/>
        <c:lblAlgn val="ctr"/>
        <c:lblOffset val="100"/>
      </c:catAx>
      <c:valAx>
        <c:axId val="271461376"/>
        <c:scaling>
          <c:orientation val="minMax"/>
        </c:scaling>
        <c:axPos val="l"/>
        <c:majorGridlines>
          <c:spPr>
            <a:ln>
              <a:noFill/>
            </a:ln>
          </c:spPr>
        </c:majorGridlines>
        <c:numFmt formatCode="&quot;$&quot;#,##0" sourceLinked="0"/>
        <c:majorTickMark val="none"/>
        <c:tickLblPos val="nextTo"/>
        <c:crossAx val="271459456"/>
        <c:crosses val="autoZero"/>
        <c:crossBetween val="between"/>
      </c:valAx>
      <c:spPr>
        <a:ln>
          <a:noFill/>
        </a:ln>
      </c:spPr>
    </c:plotArea>
    <c:legend>
      <c:legendPos val="r"/>
      <c:layout>
        <c:manualLayout>
          <c:xMode val="edge"/>
          <c:yMode val="edge"/>
          <c:x val="0.78621116106419797"/>
          <c:y val="0.22357107937733178"/>
          <c:w val="0.21378883893580236"/>
          <c:h val="0.70269040657198834"/>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lang val="en-NZ"/>
  <c:chart>
    <c:plotArea>
      <c:layout/>
      <c:scatterChart>
        <c:scatterStyle val="lineMarker"/>
        <c:ser>
          <c:idx val="0"/>
          <c:order val="0"/>
          <c:spPr>
            <a:ln w="28575">
              <a:noFill/>
            </a:ln>
          </c:spPr>
          <c:xVal>
            <c:numRef>
              <c:f>Analysis!$CJ$100:$CJ$1821</c:f>
              <c:numCache>
                <c:formatCode>General</c:formatCode>
                <c:ptCount val="1722"/>
                <c:pt idx="0">
                  <c:v>4</c:v>
                </c:pt>
                <c:pt idx="1">
                  <c:v>4</c:v>
                </c:pt>
                <c:pt idx="2">
                  <c:v>5</c:v>
                </c:pt>
                <c:pt idx="3">
                  <c:v>7</c:v>
                </c:pt>
                <c:pt idx="4">
                  <c:v>7</c:v>
                </c:pt>
                <c:pt idx="5">
                  <c:v>7</c:v>
                </c:pt>
                <c:pt idx="6">
                  <c:v>7</c:v>
                </c:pt>
                <c:pt idx="7">
                  <c:v>8</c:v>
                </c:pt>
                <c:pt idx="8">
                  <c:v>8</c:v>
                </c:pt>
                <c:pt idx="9">
                  <c:v>8</c:v>
                </c:pt>
                <c:pt idx="10">
                  <c:v>9</c:v>
                </c:pt>
                <c:pt idx="11">
                  <c:v>10</c:v>
                </c:pt>
                <c:pt idx="12">
                  <c:v>10</c:v>
                </c:pt>
                <c:pt idx="13">
                  <c:v>10</c:v>
                </c:pt>
                <c:pt idx="14">
                  <c:v>10</c:v>
                </c:pt>
                <c:pt idx="15">
                  <c:v>10</c:v>
                </c:pt>
                <c:pt idx="16">
                  <c:v>10</c:v>
                </c:pt>
                <c:pt idx="17">
                  <c:v>10</c:v>
                </c:pt>
                <c:pt idx="18">
                  <c:v>11</c:v>
                </c:pt>
                <c:pt idx="19">
                  <c:v>11</c:v>
                </c:pt>
                <c:pt idx="20">
                  <c:v>11</c:v>
                </c:pt>
                <c:pt idx="21">
                  <c:v>11</c:v>
                </c:pt>
                <c:pt idx="22">
                  <c:v>11</c:v>
                </c:pt>
                <c:pt idx="23">
                  <c:v>11</c:v>
                </c:pt>
                <c:pt idx="24">
                  <c:v>11</c:v>
                </c:pt>
                <c:pt idx="25">
                  <c:v>11</c:v>
                </c:pt>
                <c:pt idx="26">
                  <c:v>11</c:v>
                </c:pt>
                <c:pt idx="27">
                  <c:v>12</c:v>
                </c:pt>
                <c:pt idx="28">
                  <c:v>12</c:v>
                </c:pt>
                <c:pt idx="29">
                  <c:v>12</c:v>
                </c:pt>
                <c:pt idx="30">
                  <c:v>13</c:v>
                </c:pt>
                <c:pt idx="31">
                  <c:v>13</c:v>
                </c:pt>
                <c:pt idx="32">
                  <c:v>13</c:v>
                </c:pt>
                <c:pt idx="33">
                  <c:v>13</c:v>
                </c:pt>
                <c:pt idx="34">
                  <c:v>13</c:v>
                </c:pt>
                <c:pt idx="35">
                  <c:v>13</c:v>
                </c:pt>
                <c:pt idx="36">
                  <c:v>14</c:v>
                </c:pt>
                <c:pt idx="37">
                  <c:v>14</c:v>
                </c:pt>
                <c:pt idx="38">
                  <c:v>14</c:v>
                </c:pt>
                <c:pt idx="39">
                  <c:v>14</c:v>
                </c:pt>
                <c:pt idx="40">
                  <c:v>15</c:v>
                </c:pt>
                <c:pt idx="41">
                  <c:v>15</c:v>
                </c:pt>
                <c:pt idx="42">
                  <c:v>15</c:v>
                </c:pt>
                <c:pt idx="43">
                  <c:v>15</c:v>
                </c:pt>
                <c:pt idx="44">
                  <c:v>16</c:v>
                </c:pt>
                <c:pt idx="45">
                  <c:v>16</c:v>
                </c:pt>
                <c:pt idx="46">
                  <c:v>16</c:v>
                </c:pt>
                <c:pt idx="47">
                  <c:v>16</c:v>
                </c:pt>
                <c:pt idx="48">
                  <c:v>16</c:v>
                </c:pt>
                <c:pt idx="49">
                  <c:v>16</c:v>
                </c:pt>
                <c:pt idx="50">
                  <c:v>16</c:v>
                </c:pt>
                <c:pt idx="51">
                  <c:v>16</c:v>
                </c:pt>
                <c:pt idx="52">
                  <c:v>16</c:v>
                </c:pt>
                <c:pt idx="53">
                  <c:v>16</c:v>
                </c:pt>
                <c:pt idx="54">
                  <c:v>16</c:v>
                </c:pt>
                <c:pt idx="55">
                  <c:v>16</c:v>
                </c:pt>
                <c:pt idx="56">
                  <c:v>16</c:v>
                </c:pt>
                <c:pt idx="57">
                  <c:v>16</c:v>
                </c:pt>
                <c:pt idx="58">
                  <c:v>17</c:v>
                </c:pt>
                <c:pt idx="59">
                  <c:v>17</c:v>
                </c:pt>
                <c:pt idx="60">
                  <c:v>17</c:v>
                </c:pt>
                <c:pt idx="61">
                  <c:v>18</c:v>
                </c:pt>
                <c:pt idx="62">
                  <c:v>18</c:v>
                </c:pt>
                <c:pt idx="63">
                  <c:v>19</c:v>
                </c:pt>
                <c:pt idx="64">
                  <c:v>19</c:v>
                </c:pt>
                <c:pt idx="65">
                  <c:v>19</c:v>
                </c:pt>
                <c:pt idx="66">
                  <c:v>19</c:v>
                </c:pt>
                <c:pt idx="67">
                  <c:v>19</c:v>
                </c:pt>
                <c:pt idx="68">
                  <c:v>19</c:v>
                </c:pt>
                <c:pt idx="69">
                  <c:v>20</c:v>
                </c:pt>
                <c:pt idx="70">
                  <c:v>20</c:v>
                </c:pt>
                <c:pt idx="71">
                  <c:v>20</c:v>
                </c:pt>
                <c:pt idx="72">
                  <c:v>20</c:v>
                </c:pt>
                <c:pt idx="73">
                  <c:v>20</c:v>
                </c:pt>
                <c:pt idx="74">
                  <c:v>20</c:v>
                </c:pt>
                <c:pt idx="75">
                  <c:v>21</c:v>
                </c:pt>
                <c:pt idx="76">
                  <c:v>21</c:v>
                </c:pt>
                <c:pt idx="77">
                  <c:v>21</c:v>
                </c:pt>
                <c:pt idx="78">
                  <c:v>21</c:v>
                </c:pt>
                <c:pt idx="79">
                  <c:v>21</c:v>
                </c:pt>
                <c:pt idx="80">
                  <c:v>21</c:v>
                </c:pt>
                <c:pt idx="81">
                  <c:v>21</c:v>
                </c:pt>
                <c:pt idx="82">
                  <c:v>21</c:v>
                </c:pt>
                <c:pt idx="83">
                  <c:v>22</c:v>
                </c:pt>
                <c:pt idx="84">
                  <c:v>22</c:v>
                </c:pt>
                <c:pt idx="85">
                  <c:v>22</c:v>
                </c:pt>
                <c:pt idx="86">
                  <c:v>22</c:v>
                </c:pt>
                <c:pt idx="87">
                  <c:v>22</c:v>
                </c:pt>
                <c:pt idx="88">
                  <c:v>22</c:v>
                </c:pt>
                <c:pt idx="89">
                  <c:v>23</c:v>
                </c:pt>
                <c:pt idx="90">
                  <c:v>23</c:v>
                </c:pt>
                <c:pt idx="91">
                  <c:v>23</c:v>
                </c:pt>
                <c:pt idx="92">
                  <c:v>23</c:v>
                </c:pt>
                <c:pt idx="93">
                  <c:v>23</c:v>
                </c:pt>
                <c:pt idx="94">
                  <c:v>23</c:v>
                </c:pt>
                <c:pt idx="95">
                  <c:v>24</c:v>
                </c:pt>
                <c:pt idx="96">
                  <c:v>24</c:v>
                </c:pt>
                <c:pt idx="97">
                  <c:v>24</c:v>
                </c:pt>
                <c:pt idx="98">
                  <c:v>24</c:v>
                </c:pt>
                <c:pt idx="99">
                  <c:v>24</c:v>
                </c:pt>
                <c:pt idx="100">
                  <c:v>24</c:v>
                </c:pt>
                <c:pt idx="101">
                  <c:v>24</c:v>
                </c:pt>
                <c:pt idx="102">
                  <c:v>24</c:v>
                </c:pt>
                <c:pt idx="103">
                  <c:v>25</c:v>
                </c:pt>
                <c:pt idx="104">
                  <c:v>25</c:v>
                </c:pt>
                <c:pt idx="105">
                  <c:v>25</c:v>
                </c:pt>
                <c:pt idx="106">
                  <c:v>25</c:v>
                </c:pt>
                <c:pt idx="107">
                  <c:v>25</c:v>
                </c:pt>
                <c:pt idx="108">
                  <c:v>26</c:v>
                </c:pt>
                <c:pt idx="109">
                  <c:v>26</c:v>
                </c:pt>
                <c:pt idx="110">
                  <c:v>26</c:v>
                </c:pt>
                <c:pt idx="111">
                  <c:v>26</c:v>
                </c:pt>
                <c:pt idx="112">
                  <c:v>26</c:v>
                </c:pt>
                <c:pt idx="113">
                  <c:v>26</c:v>
                </c:pt>
                <c:pt idx="114">
                  <c:v>26</c:v>
                </c:pt>
                <c:pt idx="115">
                  <c:v>26</c:v>
                </c:pt>
                <c:pt idx="116">
                  <c:v>26</c:v>
                </c:pt>
                <c:pt idx="117">
                  <c:v>26</c:v>
                </c:pt>
                <c:pt idx="118">
                  <c:v>26</c:v>
                </c:pt>
                <c:pt idx="119">
                  <c:v>26</c:v>
                </c:pt>
                <c:pt idx="120">
                  <c:v>27</c:v>
                </c:pt>
                <c:pt idx="121">
                  <c:v>27</c:v>
                </c:pt>
                <c:pt idx="122">
                  <c:v>27</c:v>
                </c:pt>
                <c:pt idx="123">
                  <c:v>27</c:v>
                </c:pt>
                <c:pt idx="124">
                  <c:v>27</c:v>
                </c:pt>
                <c:pt idx="125">
                  <c:v>28</c:v>
                </c:pt>
                <c:pt idx="126">
                  <c:v>28</c:v>
                </c:pt>
                <c:pt idx="127">
                  <c:v>28</c:v>
                </c:pt>
                <c:pt idx="128">
                  <c:v>28</c:v>
                </c:pt>
                <c:pt idx="129">
                  <c:v>28</c:v>
                </c:pt>
                <c:pt idx="130">
                  <c:v>28</c:v>
                </c:pt>
                <c:pt idx="131">
                  <c:v>28</c:v>
                </c:pt>
                <c:pt idx="132">
                  <c:v>28</c:v>
                </c:pt>
                <c:pt idx="133">
                  <c:v>29</c:v>
                </c:pt>
                <c:pt idx="134">
                  <c:v>29</c:v>
                </c:pt>
                <c:pt idx="135">
                  <c:v>29</c:v>
                </c:pt>
                <c:pt idx="136">
                  <c:v>29</c:v>
                </c:pt>
                <c:pt idx="137">
                  <c:v>29</c:v>
                </c:pt>
                <c:pt idx="138">
                  <c:v>30</c:v>
                </c:pt>
                <c:pt idx="139">
                  <c:v>30</c:v>
                </c:pt>
                <c:pt idx="140">
                  <c:v>30</c:v>
                </c:pt>
                <c:pt idx="141">
                  <c:v>30</c:v>
                </c:pt>
                <c:pt idx="142">
                  <c:v>30</c:v>
                </c:pt>
                <c:pt idx="143">
                  <c:v>30</c:v>
                </c:pt>
                <c:pt idx="144">
                  <c:v>30</c:v>
                </c:pt>
                <c:pt idx="145">
                  <c:v>30</c:v>
                </c:pt>
                <c:pt idx="146">
                  <c:v>30</c:v>
                </c:pt>
                <c:pt idx="147">
                  <c:v>30</c:v>
                </c:pt>
                <c:pt idx="148">
                  <c:v>30</c:v>
                </c:pt>
                <c:pt idx="149">
                  <c:v>30</c:v>
                </c:pt>
                <c:pt idx="150">
                  <c:v>31</c:v>
                </c:pt>
                <c:pt idx="151">
                  <c:v>31</c:v>
                </c:pt>
                <c:pt idx="152">
                  <c:v>31</c:v>
                </c:pt>
                <c:pt idx="153">
                  <c:v>31</c:v>
                </c:pt>
                <c:pt idx="154">
                  <c:v>31</c:v>
                </c:pt>
                <c:pt idx="155">
                  <c:v>31</c:v>
                </c:pt>
                <c:pt idx="156">
                  <c:v>31</c:v>
                </c:pt>
                <c:pt idx="157">
                  <c:v>32</c:v>
                </c:pt>
                <c:pt idx="158">
                  <c:v>32</c:v>
                </c:pt>
                <c:pt idx="159">
                  <c:v>32</c:v>
                </c:pt>
                <c:pt idx="160">
                  <c:v>32</c:v>
                </c:pt>
                <c:pt idx="161">
                  <c:v>32</c:v>
                </c:pt>
                <c:pt idx="162">
                  <c:v>32</c:v>
                </c:pt>
                <c:pt idx="163">
                  <c:v>32</c:v>
                </c:pt>
                <c:pt idx="164">
                  <c:v>32</c:v>
                </c:pt>
                <c:pt idx="165">
                  <c:v>32</c:v>
                </c:pt>
                <c:pt idx="166">
                  <c:v>32</c:v>
                </c:pt>
                <c:pt idx="167">
                  <c:v>32</c:v>
                </c:pt>
                <c:pt idx="168">
                  <c:v>32</c:v>
                </c:pt>
                <c:pt idx="169">
                  <c:v>33</c:v>
                </c:pt>
                <c:pt idx="170">
                  <c:v>33</c:v>
                </c:pt>
                <c:pt idx="171">
                  <c:v>33</c:v>
                </c:pt>
                <c:pt idx="172">
                  <c:v>33</c:v>
                </c:pt>
                <c:pt idx="173">
                  <c:v>33</c:v>
                </c:pt>
                <c:pt idx="174">
                  <c:v>33</c:v>
                </c:pt>
                <c:pt idx="175">
                  <c:v>33</c:v>
                </c:pt>
                <c:pt idx="176">
                  <c:v>33</c:v>
                </c:pt>
                <c:pt idx="177">
                  <c:v>34</c:v>
                </c:pt>
                <c:pt idx="178">
                  <c:v>34</c:v>
                </c:pt>
                <c:pt idx="179">
                  <c:v>34</c:v>
                </c:pt>
                <c:pt idx="180">
                  <c:v>34</c:v>
                </c:pt>
                <c:pt idx="181">
                  <c:v>34</c:v>
                </c:pt>
                <c:pt idx="182">
                  <c:v>34</c:v>
                </c:pt>
                <c:pt idx="183">
                  <c:v>34</c:v>
                </c:pt>
                <c:pt idx="184">
                  <c:v>34</c:v>
                </c:pt>
                <c:pt idx="185">
                  <c:v>34</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36</c:v>
                </c:pt>
                <c:pt idx="204">
                  <c:v>36</c:v>
                </c:pt>
                <c:pt idx="205">
                  <c:v>36</c:v>
                </c:pt>
                <c:pt idx="206">
                  <c:v>36</c:v>
                </c:pt>
                <c:pt idx="207">
                  <c:v>36</c:v>
                </c:pt>
                <c:pt idx="208">
                  <c:v>36</c:v>
                </c:pt>
                <c:pt idx="209">
                  <c:v>36</c:v>
                </c:pt>
                <c:pt idx="210">
                  <c:v>36</c:v>
                </c:pt>
                <c:pt idx="211">
                  <c:v>36</c:v>
                </c:pt>
                <c:pt idx="212">
                  <c:v>37</c:v>
                </c:pt>
                <c:pt idx="213">
                  <c:v>37</c:v>
                </c:pt>
                <c:pt idx="214">
                  <c:v>37</c:v>
                </c:pt>
                <c:pt idx="215">
                  <c:v>37</c:v>
                </c:pt>
                <c:pt idx="216">
                  <c:v>37</c:v>
                </c:pt>
                <c:pt idx="217">
                  <c:v>38</c:v>
                </c:pt>
                <c:pt idx="218">
                  <c:v>38</c:v>
                </c:pt>
                <c:pt idx="219">
                  <c:v>38</c:v>
                </c:pt>
                <c:pt idx="220">
                  <c:v>38</c:v>
                </c:pt>
                <c:pt idx="221">
                  <c:v>38</c:v>
                </c:pt>
                <c:pt idx="222">
                  <c:v>38</c:v>
                </c:pt>
                <c:pt idx="223">
                  <c:v>39</c:v>
                </c:pt>
                <c:pt idx="224">
                  <c:v>39</c:v>
                </c:pt>
                <c:pt idx="225">
                  <c:v>39</c:v>
                </c:pt>
                <c:pt idx="226">
                  <c:v>39</c:v>
                </c:pt>
                <c:pt idx="227">
                  <c:v>39</c:v>
                </c:pt>
                <c:pt idx="228">
                  <c:v>39</c:v>
                </c:pt>
                <c:pt idx="229">
                  <c:v>39</c:v>
                </c:pt>
                <c:pt idx="230">
                  <c:v>39</c:v>
                </c:pt>
                <c:pt idx="231">
                  <c:v>39</c:v>
                </c:pt>
                <c:pt idx="232">
                  <c:v>40</c:v>
                </c:pt>
                <c:pt idx="233">
                  <c:v>40</c:v>
                </c:pt>
                <c:pt idx="234">
                  <c:v>40</c:v>
                </c:pt>
                <c:pt idx="235">
                  <c:v>40</c:v>
                </c:pt>
                <c:pt idx="236">
                  <c:v>40</c:v>
                </c:pt>
                <c:pt idx="237">
                  <c:v>40</c:v>
                </c:pt>
                <c:pt idx="238">
                  <c:v>40</c:v>
                </c:pt>
                <c:pt idx="239">
                  <c:v>41</c:v>
                </c:pt>
                <c:pt idx="240">
                  <c:v>41</c:v>
                </c:pt>
                <c:pt idx="241">
                  <c:v>41</c:v>
                </c:pt>
                <c:pt idx="242">
                  <c:v>42</c:v>
                </c:pt>
                <c:pt idx="243">
                  <c:v>42</c:v>
                </c:pt>
                <c:pt idx="244">
                  <c:v>42</c:v>
                </c:pt>
                <c:pt idx="245">
                  <c:v>43</c:v>
                </c:pt>
                <c:pt idx="246">
                  <c:v>43</c:v>
                </c:pt>
                <c:pt idx="247">
                  <c:v>43</c:v>
                </c:pt>
                <c:pt idx="248">
                  <c:v>43</c:v>
                </c:pt>
                <c:pt idx="249">
                  <c:v>43</c:v>
                </c:pt>
                <c:pt idx="250">
                  <c:v>43</c:v>
                </c:pt>
                <c:pt idx="251">
                  <c:v>43</c:v>
                </c:pt>
                <c:pt idx="252">
                  <c:v>44</c:v>
                </c:pt>
                <c:pt idx="253">
                  <c:v>44</c:v>
                </c:pt>
                <c:pt idx="254">
                  <c:v>44</c:v>
                </c:pt>
                <c:pt idx="255">
                  <c:v>44</c:v>
                </c:pt>
                <c:pt idx="256">
                  <c:v>44</c:v>
                </c:pt>
                <c:pt idx="257">
                  <c:v>44</c:v>
                </c:pt>
                <c:pt idx="258">
                  <c:v>44</c:v>
                </c:pt>
                <c:pt idx="259">
                  <c:v>44</c:v>
                </c:pt>
                <c:pt idx="260">
                  <c:v>45</c:v>
                </c:pt>
                <c:pt idx="261">
                  <c:v>45</c:v>
                </c:pt>
                <c:pt idx="262">
                  <c:v>45</c:v>
                </c:pt>
                <c:pt idx="263">
                  <c:v>45</c:v>
                </c:pt>
                <c:pt idx="264">
                  <c:v>45</c:v>
                </c:pt>
                <c:pt idx="265">
                  <c:v>46</c:v>
                </c:pt>
                <c:pt idx="266">
                  <c:v>46</c:v>
                </c:pt>
                <c:pt idx="267">
                  <c:v>46</c:v>
                </c:pt>
                <c:pt idx="268">
                  <c:v>46</c:v>
                </c:pt>
                <c:pt idx="269">
                  <c:v>46</c:v>
                </c:pt>
                <c:pt idx="270">
                  <c:v>46</c:v>
                </c:pt>
                <c:pt idx="271">
                  <c:v>46</c:v>
                </c:pt>
                <c:pt idx="272">
                  <c:v>47</c:v>
                </c:pt>
                <c:pt idx="273">
                  <c:v>47</c:v>
                </c:pt>
                <c:pt idx="274">
                  <c:v>47</c:v>
                </c:pt>
                <c:pt idx="275">
                  <c:v>47</c:v>
                </c:pt>
                <c:pt idx="276">
                  <c:v>47</c:v>
                </c:pt>
                <c:pt idx="277">
                  <c:v>47</c:v>
                </c:pt>
                <c:pt idx="278">
                  <c:v>47</c:v>
                </c:pt>
                <c:pt idx="279">
                  <c:v>48</c:v>
                </c:pt>
                <c:pt idx="280">
                  <c:v>48</c:v>
                </c:pt>
                <c:pt idx="281">
                  <c:v>48</c:v>
                </c:pt>
                <c:pt idx="282">
                  <c:v>48</c:v>
                </c:pt>
                <c:pt idx="283">
                  <c:v>48</c:v>
                </c:pt>
                <c:pt idx="284">
                  <c:v>48</c:v>
                </c:pt>
                <c:pt idx="285">
                  <c:v>48</c:v>
                </c:pt>
                <c:pt idx="286">
                  <c:v>50</c:v>
                </c:pt>
                <c:pt idx="287">
                  <c:v>49</c:v>
                </c:pt>
                <c:pt idx="288">
                  <c:v>49</c:v>
                </c:pt>
                <c:pt idx="289">
                  <c:v>49</c:v>
                </c:pt>
                <c:pt idx="290">
                  <c:v>49</c:v>
                </c:pt>
                <c:pt idx="291">
                  <c:v>49</c:v>
                </c:pt>
                <c:pt idx="292">
                  <c:v>49</c:v>
                </c:pt>
                <c:pt idx="293">
                  <c:v>50</c:v>
                </c:pt>
                <c:pt idx="294">
                  <c:v>50</c:v>
                </c:pt>
                <c:pt idx="295">
                  <c:v>50</c:v>
                </c:pt>
                <c:pt idx="296">
                  <c:v>50</c:v>
                </c:pt>
                <c:pt idx="297">
                  <c:v>50</c:v>
                </c:pt>
                <c:pt idx="298">
                  <c:v>50</c:v>
                </c:pt>
                <c:pt idx="299">
                  <c:v>51</c:v>
                </c:pt>
                <c:pt idx="300">
                  <c:v>51</c:v>
                </c:pt>
                <c:pt idx="301">
                  <c:v>51</c:v>
                </c:pt>
                <c:pt idx="302">
                  <c:v>51</c:v>
                </c:pt>
                <c:pt idx="303">
                  <c:v>51</c:v>
                </c:pt>
                <c:pt idx="304">
                  <c:v>52</c:v>
                </c:pt>
                <c:pt idx="305">
                  <c:v>52</c:v>
                </c:pt>
                <c:pt idx="306">
                  <c:v>52</c:v>
                </c:pt>
                <c:pt idx="307">
                  <c:v>52</c:v>
                </c:pt>
                <c:pt idx="308">
                  <c:v>52</c:v>
                </c:pt>
                <c:pt idx="309">
                  <c:v>52</c:v>
                </c:pt>
                <c:pt idx="310">
                  <c:v>52</c:v>
                </c:pt>
                <c:pt idx="311">
                  <c:v>52</c:v>
                </c:pt>
                <c:pt idx="312">
                  <c:v>53</c:v>
                </c:pt>
                <c:pt idx="313">
                  <c:v>54</c:v>
                </c:pt>
                <c:pt idx="314">
                  <c:v>54</c:v>
                </c:pt>
                <c:pt idx="315">
                  <c:v>54</c:v>
                </c:pt>
                <c:pt idx="316">
                  <c:v>54</c:v>
                </c:pt>
                <c:pt idx="317">
                  <c:v>54</c:v>
                </c:pt>
                <c:pt idx="318">
                  <c:v>54</c:v>
                </c:pt>
                <c:pt idx="319">
                  <c:v>54</c:v>
                </c:pt>
                <c:pt idx="320">
                  <c:v>55</c:v>
                </c:pt>
                <c:pt idx="321">
                  <c:v>55</c:v>
                </c:pt>
                <c:pt idx="322">
                  <c:v>55</c:v>
                </c:pt>
                <c:pt idx="323">
                  <c:v>55</c:v>
                </c:pt>
                <c:pt idx="324">
                  <c:v>55</c:v>
                </c:pt>
                <c:pt idx="325">
                  <c:v>56</c:v>
                </c:pt>
                <c:pt idx="326">
                  <c:v>56</c:v>
                </c:pt>
                <c:pt idx="327">
                  <c:v>56</c:v>
                </c:pt>
                <c:pt idx="328">
                  <c:v>56</c:v>
                </c:pt>
                <c:pt idx="329">
                  <c:v>57</c:v>
                </c:pt>
                <c:pt idx="330">
                  <c:v>57</c:v>
                </c:pt>
                <c:pt idx="331">
                  <c:v>57</c:v>
                </c:pt>
                <c:pt idx="332">
                  <c:v>57</c:v>
                </c:pt>
                <c:pt idx="333">
                  <c:v>57</c:v>
                </c:pt>
                <c:pt idx="334">
                  <c:v>58</c:v>
                </c:pt>
                <c:pt idx="335">
                  <c:v>58</c:v>
                </c:pt>
                <c:pt idx="336">
                  <c:v>58</c:v>
                </c:pt>
                <c:pt idx="337">
                  <c:v>58</c:v>
                </c:pt>
                <c:pt idx="338">
                  <c:v>58</c:v>
                </c:pt>
                <c:pt idx="339">
                  <c:v>59</c:v>
                </c:pt>
                <c:pt idx="340">
                  <c:v>59</c:v>
                </c:pt>
                <c:pt idx="341">
                  <c:v>59</c:v>
                </c:pt>
                <c:pt idx="342">
                  <c:v>59</c:v>
                </c:pt>
                <c:pt idx="343">
                  <c:v>59</c:v>
                </c:pt>
                <c:pt idx="344">
                  <c:v>59</c:v>
                </c:pt>
                <c:pt idx="345">
                  <c:v>60</c:v>
                </c:pt>
                <c:pt idx="346">
                  <c:v>60</c:v>
                </c:pt>
                <c:pt idx="347">
                  <c:v>60</c:v>
                </c:pt>
                <c:pt idx="348">
                  <c:v>60</c:v>
                </c:pt>
                <c:pt idx="349">
                  <c:v>60</c:v>
                </c:pt>
                <c:pt idx="350">
                  <c:v>60</c:v>
                </c:pt>
                <c:pt idx="351">
                  <c:v>60</c:v>
                </c:pt>
                <c:pt idx="352">
                  <c:v>61</c:v>
                </c:pt>
                <c:pt idx="353">
                  <c:v>61</c:v>
                </c:pt>
                <c:pt idx="354">
                  <c:v>61</c:v>
                </c:pt>
                <c:pt idx="355">
                  <c:v>61</c:v>
                </c:pt>
                <c:pt idx="356">
                  <c:v>61</c:v>
                </c:pt>
                <c:pt idx="357">
                  <c:v>61</c:v>
                </c:pt>
                <c:pt idx="358">
                  <c:v>61</c:v>
                </c:pt>
                <c:pt idx="359">
                  <c:v>61</c:v>
                </c:pt>
                <c:pt idx="360">
                  <c:v>61</c:v>
                </c:pt>
                <c:pt idx="361">
                  <c:v>61</c:v>
                </c:pt>
                <c:pt idx="362">
                  <c:v>61</c:v>
                </c:pt>
                <c:pt idx="363">
                  <c:v>61</c:v>
                </c:pt>
                <c:pt idx="364">
                  <c:v>62</c:v>
                </c:pt>
                <c:pt idx="365">
                  <c:v>62</c:v>
                </c:pt>
                <c:pt idx="366">
                  <c:v>62</c:v>
                </c:pt>
                <c:pt idx="367">
                  <c:v>62</c:v>
                </c:pt>
                <c:pt idx="368">
                  <c:v>62</c:v>
                </c:pt>
                <c:pt idx="369">
                  <c:v>62</c:v>
                </c:pt>
                <c:pt idx="370">
                  <c:v>63</c:v>
                </c:pt>
                <c:pt idx="371">
                  <c:v>63</c:v>
                </c:pt>
                <c:pt idx="372">
                  <c:v>63</c:v>
                </c:pt>
                <c:pt idx="373">
                  <c:v>64</c:v>
                </c:pt>
                <c:pt idx="374">
                  <c:v>64</c:v>
                </c:pt>
                <c:pt idx="375">
                  <c:v>65</c:v>
                </c:pt>
                <c:pt idx="376">
                  <c:v>65</c:v>
                </c:pt>
                <c:pt idx="377">
                  <c:v>66</c:v>
                </c:pt>
                <c:pt idx="378">
                  <c:v>66</c:v>
                </c:pt>
                <c:pt idx="379">
                  <c:v>66</c:v>
                </c:pt>
                <c:pt idx="380">
                  <c:v>66</c:v>
                </c:pt>
                <c:pt idx="381">
                  <c:v>66</c:v>
                </c:pt>
                <c:pt idx="382">
                  <c:v>66</c:v>
                </c:pt>
                <c:pt idx="383">
                  <c:v>67</c:v>
                </c:pt>
                <c:pt idx="384">
                  <c:v>67</c:v>
                </c:pt>
                <c:pt idx="385">
                  <c:v>67</c:v>
                </c:pt>
                <c:pt idx="386">
                  <c:v>67</c:v>
                </c:pt>
                <c:pt idx="387">
                  <c:v>67</c:v>
                </c:pt>
                <c:pt idx="388">
                  <c:v>67</c:v>
                </c:pt>
                <c:pt idx="389">
                  <c:v>68</c:v>
                </c:pt>
                <c:pt idx="390">
                  <c:v>68</c:v>
                </c:pt>
                <c:pt idx="391">
                  <c:v>68</c:v>
                </c:pt>
                <c:pt idx="392">
                  <c:v>69</c:v>
                </c:pt>
                <c:pt idx="393">
                  <c:v>69</c:v>
                </c:pt>
                <c:pt idx="394">
                  <c:v>70</c:v>
                </c:pt>
                <c:pt idx="395">
                  <c:v>69</c:v>
                </c:pt>
                <c:pt idx="396">
                  <c:v>69</c:v>
                </c:pt>
                <c:pt idx="397">
                  <c:v>72</c:v>
                </c:pt>
                <c:pt idx="398">
                  <c:v>70</c:v>
                </c:pt>
                <c:pt idx="399">
                  <c:v>70</c:v>
                </c:pt>
                <c:pt idx="400">
                  <c:v>71</c:v>
                </c:pt>
                <c:pt idx="401">
                  <c:v>71</c:v>
                </c:pt>
                <c:pt idx="402">
                  <c:v>72</c:v>
                </c:pt>
                <c:pt idx="403">
                  <c:v>72</c:v>
                </c:pt>
                <c:pt idx="404">
                  <c:v>72</c:v>
                </c:pt>
                <c:pt idx="405">
                  <c:v>72</c:v>
                </c:pt>
                <c:pt idx="406">
                  <c:v>72</c:v>
                </c:pt>
                <c:pt idx="407">
                  <c:v>73</c:v>
                </c:pt>
                <c:pt idx="408">
                  <c:v>74</c:v>
                </c:pt>
                <c:pt idx="409">
                  <c:v>73</c:v>
                </c:pt>
                <c:pt idx="410">
                  <c:v>73</c:v>
                </c:pt>
                <c:pt idx="411">
                  <c:v>73</c:v>
                </c:pt>
                <c:pt idx="412">
                  <c:v>74</c:v>
                </c:pt>
                <c:pt idx="413">
                  <c:v>74</c:v>
                </c:pt>
                <c:pt idx="414">
                  <c:v>74</c:v>
                </c:pt>
                <c:pt idx="415">
                  <c:v>75</c:v>
                </c:pt>
                <c:pt idx="416">
                  <c:v>75</c:v>
                </c:pt>
                <c:pt idx="417">
                  <c:v>76</c:v>
                </c:pt>
                <c:pt idx="418">
                  <c:v>76</c:v>
                </c:pt>
                <c:pt idx="419">
                  <c:v>76</c:v>
                </c:pt>
                <c:pt idx="420">
                  <c:v>76</c:v>
                </c:pt>
                <c:pt idx="421">
                  <c:v>76</c:v>
                </c:pt>
                <c:pt idx="422">
                  <c:v>76</c:v>
                </c:pt>
                <c:pt idx="423">
                  <c:v>77</c:v>
                </c:pt>
                <c:pt idx="424">
                  <c:v>77</c:v>
                </c:pt>
                <c:pt idx="425">
                  <c:v>77</c:v>
                </c:pt>
                <c:pt idx="426">
                  <c:v>77</c:v>
                </c:pt>
                <c:pt idx="427">
                  <c:v>77</c:v>
                </c:pt>
                <c:pt idx="428">
                  <c:v>78</c:v>
                </c:pt>
                <c:pt idx="429">
                  <c:v>78</c:v>
                </c:pt>
                <c:pt idx="430">
                  <c:v>78</c:v>
                </c:pt>
                <c:pt idx="431">
                  <c:v>79</c:v>
                </c:pt>
                <c:pt idx="432">
                  <c:v>80</c:v>
                </c:pt>
                <c:pt idx="433">
                  <c:v>80</c:v>
                </c:pt>
                <c:pt idx="434">
                  <c:v>80</c:v>
                </c:pt>
                <c:pt idx="435">
                  <c:v>80</c:v>
                </c:pt>
                <c:pt idx="436">
                  <c:v>81</c:v>
                </c:pt>
                <c:pt idx="437">
                  <c:v>81</c:v>
                </c:pt>
                <c:pt idx="438">
                  <c:v>81</c:v>
                </c:pt>
                <c:pt idx="439">
                  <c:v>81</c:v>
                </c:pt>
                <c:pt idx="440">
                  <c:v>81</c:v>
                </c:pt>
                <c:pt idx="441">
                  <c:v>81</c:v>
                </c:pt>
                <c:pt idx="442">
                  <c:v>81</c:v>
                </c:pt>
                <c:pt idx="443">
                  <c:v>82</c:v>
                </c:pt>
                <c:pt idx="444">
                  <c:v>82</c:v>
                </c:pt>
                <c:pt idx="445">
                  <c:v>82</c:v>
                </c:pt>
                <c:pt idx="446">
                  <c:v>83</c:v>
                </c:pt>
                <c:pt idx="447">
                  <c:v>83</c:v>
                </c:pt>
                <c:pt idx="448">
                  <c:v>83</c:v>
                </c:pt>
                <c:pt idx="449">
                  <c:v>83</c:v>
                </c:pt>
                <c:pt idx="450">
                  <c:v>83</c:v>
                </c:pt>
                <c:pt idx="451">
                  <c:v>84</c:v>
                </c:pt>
                <c:pt idx="452">
                  <c:v>84</c:v>
                </c:pt>
                <c:pt idx="453">
                  <c:v>84</c:v>
                </c:pt>
                <c:pt idx="454">
                  <c:v>84</c:v>
                </c:pt>
                <c:pt idx="455">
                  <c:v>84</c:v>
                </c:pt>
                <c:pt idx="456">
                  <c:v>84</c:v>
                </c:pt>
                <c:pt idx="457">
                  <c:v>84</c:v>
                </c:pt>
                <c:pt idx="458">
                  <c:v>85</c:v>
                </c:pt>
                <c:pt idx="459">
                  <c:v>85</c:v>
                </c:pt>
                <c:pt idx="460">
                  <c:v>85</c:v>
                </c:pt>
                <c:pt idx="461">
                  <c:v>85</c:v>
                </c:pt>
                <c:pt idx="462">
                  <c:v>85</c:v>
                </c:pt>
                <c:pt idx="463">
                  <c:v>86</c:v>
                </c:pt>
                <c:pt idx="464">
                  <c:v>86</c:v>
                </c:pt>
                <c:pt idx="465">
                  <c:v>86</c:v>
                </c:pt>
                <c:pt idx="466">
                  <c:v>87</c:v>
                </c:pt>
                <c:pt idx="467">
                  <c:v>87</c:v>
                </c:pt>
                <c:pt idx="468">
                  <c:v>87</c:v>
                </c:pt>
                <c:pt idx="469">
                  <c:v>87</c:v>
                </c:pt>
                <c:pt idx="470">
                  <c:v>88</c:v>
                </c:pt>
                <c:pt idx="471">
                  <c:v>89</c:v>
                </c:pt>
                <c:pt idx="472">
                  <c:v>89</c:v>
                </c:pt>
                <c:pt idx="473">
                  <c:v>89</c:v>
                </c:pt>
                <c:pt idx="474">
                  <c:v>89</c:v>
                </c:pt>
                <c:pt idx="475">
                  <c:v>89</c:v>
                </c:pt>
                <c:pt idx="476">
                  <c:v>90</c:v>
                </c:pt>
                <c:pt idx="477">
                  <c:v>90</c:v>
                </c:pt>
                <c:pt idx="478">
                  <c:v>90</c:v>
                </c:pt>
                <c:pt idx="479">
                  <c:v>90</c:v>
                </c:pt>
                <c:pt idx="480">
                  <c:v>90</c:v>
                </c:pt>
                <c:pt idx="481">
                  <c:v>90</c:v>
                </c:pt>
                <c:pt idx="482">
                  <c:v>90</c:v>
                </c:pt>
                <c:pt idx="483">
                  <c:v>91</c:v>
                </c:pt>
                <c:pt idx="484">
                  <c:v>92</c:v>
                </c:pt>
                <c:pt idx="485">
                  <c:v>92</c:v>
                </c:pt>
                <c:pt idx="486">
                  <c:v>92</c:v>
                </c:pt>
                <c:pt idx="487">
                  <c:v>92</c:v>
                </c:pt>
                <c:pt idx="488">
                  <c:v>92</c:v>
                </c:pt>
                <c:pt idx="489">
                  <c:v>93</c:v>
                </c:pt>
                <c:pt idx="490">
                  <c:v>93</c:v>
                </c:pt>
                <c:pt idx="491">
                  <c:v>93</c:v>
                </c:pt>
                <c:pt idx="492">
                  <c:v>94</c:v>
                </c:pt>
                <c:pt idx="493">
                  <c:v>94</c:v>
                </c:pt>
                <c:pt idx="494">
                  <c:v>94</c:v>
                </c:pt>
                <c:pt idx="495">
                  <c:v>95</c:v>
                </c:pt>
                <c:pt idx="496">
                  <c:v>95</c:v>
                </c:pt>
                <c:pt idx="497">
                  <c:v>95</c:v>
                </c:pt>
                <c:pt idx="498">
                  <c:v>95</c:v>
                </c:pt>
                <c:pt idx="499">
                  <c:v>95</c:v>
                </c:pt>
                <c:pt idx="500">
                  <c:v>96</c:v>
                </c:pt>
                <c:pt idx="501">
                  <c:v>96</c:v>
                </c:pt>
                <c:pt idx="502">
                  <c:v>96</c:v>
                </c:pt>
                <c:pt idx="503">
                  <c:v>96</c:v>
                </c:pt>
                <c:pt idx="504">
                  <c:v>97</c:v>
                </c:pt>
                <c:pt idx="505">
                  <c:v>97</c:v>
                </c:pt>
                <c:pt idx="506">
                  <c:v>97</c:v>
                </c:pt>
                <c:pt idx="507">
                  <c:v>97</c:v>
                </c:pt>
                <c:pt idx="508">
                  <c:v>97</c:v>
                </c:pt>
                <c:pt idx="509">
                  <c:v>97</c:v>
                </c:pt>
                <c:pt idx="510">
                  <c:v>98</c:v>
                </c:pt>
                <c:pt idx="511">
                  <c:v>98</c:v>
                </c:pt>
                <c:pt idx="512">
                  <c:v>98</c:v>
                </c:pt>
                <c:pt idx="513">
                  <c:v>98</c:v>
                </c:pt>
                <c:pt idx="514">
                  <c:v>99</c:v>
                </c:pt>
                <c:pt idx="515">
                  <c:v>99</c:v>
                </c:pt>
                <c:pt idx="516">
                  <c:v>99</c:v>
                </c:pt>
                <c:pt idx="517">
                  <c:v>99</c:v>
                </c:pt>
                <c:pt idx="518">
                  <c:v>100</c:v>
                </c:pt>
                <c:pt idx="519">
                  <c:v>100</c:v>
                </c:pt>
                <c:pt idx="520">
                  <c:v>100</c:v>
                </c:pt>
                <c:pt idx="521">
                  <c:v>100</c:v>
                </c:pt>
                <c:pt idx="522">
                  <c:v>101</c:v>
                </c:pt>
                <c:pt idx="523">
                  <c:v>101</c:v>
                </c:pt>
                <c:pt idx="524">
                  <c:v>101</c:v>
                </c:pt>
                <c:pt idx="525">
                  <c:v>101</c:v>
                </c:pt>
                <c:pt idx="526">
                  <c:v>102</c:v>
                </c:pt>
                <c:pt idx="527">
                  <c:v>101</c:v>
                </c:pt>
                <c:pt idx="528">
                  <c:v>102</c:v>
                </c:pt>
                <c:pt idx="529">
                  <c:v>102</c:v>
                </c:pt>
                <c:pt idx="530">
                  <c:v>102</c:v>
                </c:pt>
                <c:pt idx="531">
                  <c:v>102</c:v>
                </c:pt>
                <c:pt idx="532">
                  <c:v>102</c:v>
                </c:pt>
                <c:pt idx="533">
                  <c:v>103</c:v>
                </c:pt>
                <c:pt idx="534">
                  <c:v>103</c:v>
                </c:pt>
                <c:pt idx="535">
                  <c:v>103</c:v>
                </c:pt>
                <c:pt idx="536">
                  <c:v>103</c:v>
                </c:pt>
                <c:pt idx="537">
                  <c:v>103</c:v>
                </c:pt>
                <c:pt idx="538">
                  <c:v>104</c:v>
                </c:pt>
                <c:pt idx="539">
                  <c:v>104</c:v>
                </c:pt>
                <c:pt idx="540">
                  <c:v>104</c:v>
                </c:pt>
                <c:pt idx="541">
                  <c:v>104</c:v>
                </c:pt>
                <c:pt idx="542">
                  <c:v>104</c:v>
                </c:pt>
                <c:pt idx="543">
                  <c:v>105</c:v>
                </c:pt>
                <c:pt idx="544">
                  <c:v>105</c:v>
                </c:pt>
                <c:pt idx="545">
                  <c:v>105</c:v>
                </c:pt>
                <c:pt idx="546">
                  <c:v>105</c:v>
                </c:pt>
                <c:pt idx="547">
                  <c:v>105</c:v>
                </c:pt>
                <c:pt idx="548">
                  <c:v>106</c:v>
                </c:pt>
                <c:pt idx="549">
                  <c:v>106</c:v>
                </c:pt>
                <c:pt idx="550">
                  <c:v>106</c:v>
                </c:pt>
                <c:pt idx="551">
                  <c:v>106</c:v>
                </c:pt>
                <c:pt idx="552">
                  <c:v>107</c:v>
                </c:pt>
                <c:pt idx="553">
                  <c:v>107</c:v>
                </c:pt>
                <c:pt idx="554">
                  <c:v>108</c:v>
                </c:pt>
                <c:pt idx="555">
                  <c:v>108</c:v>
                </c:pt>
                <c:pt idx="556">
                  <c:v>108</c:v>
                </c:pt>
                <c:pt idx="557">
                  <c:v>108</c:v>
                </c:pt>
                <c:pt idx="558">
                  <c:v>108</c:v>
                </c:pt>
                <c:pt idx="559">
                  <c:v>108</c:v>
                </c:pt>
                <c:pt idx="560">
                  <c:v>109</c:v>
                </c:pt>
                <c:pt idx="561">
                  <c:v>109</c:v>
                </c:pt>
                <c:pt idx="562">
                  <c:v>109</c:v>
                </c:pt>
                <c:pt idx="563">
                  <c:v>109</c:v>
                </c:pt>
                <c:pt idx="564">
                  <c:v>110</c:v>
                </c:pt>
                <c:pt idx="565">
                  <c:v>110</c:v>
                </c:pt>
                <c:pt idx="566">
                  <c:v>110</c:v>
                </c:pt>
                <c:pt idx="567">
                  <c:v>110</c:v>
                </c:pt>
                <c:pt idx="568">
                  <c:v>111</c:v>
                </c:pt>
                <c:pt idx="569">
                  <c:v>111</c:v>
                </c:pt>
                <c:pt idx="570">
                  <c:v>111</c:v>
                </c:pt>
                <c:pt idx="571">
                  <c:v>111</c:v>
                </c:pt>
                <c:pt idx="572">
                  <c:v>111</c:v>
                </c:pt>
                <c:pt idx="573">
                  <c:v>111</c:v>
                </c:pt>
                <c:pt idx="574">
                  <c:v>111</c:v>
                </c:pt>
                <c:pt idx="575">
                  <c:v>112</c:v>
                </c:pt>
                <c:pt idx="576">
                  <c:v>112</c:v>
                </c:pt>
                <c:pt idx="577">
                  <c:v>112</c:v>
                </c:pt>
                <c:pt idx="578">
                  <c:v>112</c:v>
                </c:pt>
                <c:pt idx="579">
                  <c:v>112</c:v>
                </c:pt>
                <c:pt idx="580">
                  <c:v>112</c:v>
                </c:pt>
                <c:pt idx="581">
                  <c:v>112</c:v>
                </c:pt>
                <c:pt idx="582">
                  <c:v>112</c:v>
                </c:pt>
                <c:pt idx="583">
                  <c:v>112</c:v>
                </c:pt>
                <c:pt idx="584">
                  <c:v>113</c:v>
                </c:pt>
                <c:pt idx="585">
                  <c:v>113</c:v>
                </c:pt>
                <c:pt idx="586">
                  <c:v>113</c:v>
                </c:pt>
                <c:pt idx="587">
                  <c:v>114</c:v>
                </c:pt>
                <c:pt idx="588">
                  <c:v>114</c:v>
                </c:pt>
                <c:pt idx="589">
                  <c:v>114</c:v>
                </c:pt>
                <c:pt idx="590">
                  <c:v>114</c:v>
                </c:pt>
                <c:pt idx="591">
                  <c:v>115</c:v>
                </c:pt>
                <c:pt idx="592">
                  <c:v>115</c:v>
                </c:pt>
                <c:pt idx="593">
                  <c:v>115</c:v>
                </c:pt>
                <c:pt idx="594">
                  <c:v>115</c:v>
                </c:pt>
                <c:pt idx="595">
                  <c:v>115</c:v>
                </c:pt>
                <c:pt idx="596">
                  <c:v>115</c:v>
                </c:pt>
                <c:pt idx="597">
                  <c:v>116</c:v>
                </c:pt>
                <c:pt idx="598">
                  <c:v>116</c:v>
                </c:pt>
                <c:pt idx="599">
                  <c:v>116</c:v>
                </c:pt>
                <c:pt idx="600">
                  <c:v>116</c:v>
                </c:pt>
                <c:pt idx="601">
                  <c:v>116</c:v>
                </c:pt>
                <c:pt idx="602">
                  <c:v>116</c:v>
                </c:pt>
                <c:pt idx="603">
                  <c:v>117</c:v>
                </c:pt>
                <c:pt idx="604">
                  <c:v>117</c:v>
                </c:pt>
                <c:pt idx="605">
                  <c:v>117</c:v>
                </c:pt>
                <c:pt idx="606">
                  <c:v>117</c:v>
                </c:pt>
                <c:pt idx="607">
                  <c:v>117</c:v>
                </c:pt>
                <c:pt idx="608">
                  <c:v>117</c:v>
                </c:pt>
                <c:pt idx="609">
                  <c:v>117</c:v>
                </c:pt>
                <c:pt idx="610">
                  <c:v>117</c:v>
                </c:pt>
                <c:pt idx="611">
                  <c:v>117</c:v>
                </c:pt>
                <c:pt idx="612">
                  <c:v>117</c:v>
                </c:pt>
                <c:pt idx="613">
                  <c:v>117</c:v>
                </c:pt>
                <c:pt idx="614">
                  <c:v>117</c:v>
                </c:pt>
                <c:pt idx="615">
                  <c:v>117</c:v>
                </c:pt>
                <c:pt idx="616">
                  <c:v>118</c:v>
                </c:pt>
                <c:pt idx="617">
                  <c:v>118</c:v>
                </c:pt>
                <c:pt idx="618">
                  <c:v>118</c:v>
                </c:pt>
                <c:pt idx="619">
                  <c:v>119</c:v>
                </c:pt>
                <c:pt idx="620">
                  <c:v>119</c:v>
                </c:pt>
                <c:pt idx="621">
                  <c:v>119</c:v>
                </c:pt>
                <c:pt idx="622">
                  <c:v>120</c:v>
                </c:pt>
                <c:pt idx="623">
                  <c:v>119</c:v>
                </c:pt>
                <c:pt idx="624">
                  <c:v>120</c:v>
                </c:pt>
                <c:pt idx="625">
                  <c:v>120</c:v>
                </c:pt>
                <c:pt idx="626">
                  <c:v>120</c:v>
                </c:pt>
                <c:pt idx="627">
                  <c:v>120</c:v>
                </c:pt>
                <c:pt idx="628">
                  <c:v>120</c:v>
                </c:pt>
                <c:pt idx="629">
                  <c:v>120</c:v>
                </c:pt>
                <c:pt idx="630">
                  <c:v>120</c:v>
                </c:pt>
                <c:pt idx="631">
                  <c:v>120</c:v>
                </c:pt>
                <c:pt idx="632">
                  <c:v>121</c:v>
                </c:pt>
                <c:pt idx="633">
                  <c:v>121</c:v>
                </c:pt>
                <c:pt idx="634">
                  <c:v>121</c:v>
                </c:pt>
                <c:pt idx="635">
                  <c:v>121</c:v>
                </c:pt>
                <c:pt idx="636">
                  <c:v>121</c:v>
                </c:pt>
                <c:pt idx="637">
                  <c:v>121</c:v>
                </c:pt>
                <c:pt idx="638">
                  <c:v>122</c:v>
                </c:pt>
                <c:pt idx="639">
                  <c:v>122</c:v>
                </c:pt>
                <c:pt idx="640">
                  <c:v>122</c:v>
                </c:pt>
                <c:pt idx="641">
                  <c:v>123</c:v>
                </c:pt>
                <c:pt idx="642">
                  <c:v>123</c:v>
                </c:pt>
                <c:pt idx="643">
                  <c:v>123</c:v>
                </c:pt>
                <c:pt idx="644">
                  <c:v>123</c:v>
                </c:pt>
                <c:pt idx="645">
                  <c:v>123</c:v>
                </c:pt>
                <c:pt idx="646">
                  <c:v>123</c:v>
                </c:pt>
                <c:pt idx="647">
                  <c:v>124</c:v>
                </c:pt>
                <c:pt idx="648">
                  <c:v>124</c:v>
                </c:pt>
                <c:pt idx="649">
                  <c:v>125</c:v>
                </c:pt>
                <c:pt idx="650">
                  <c:v>125</c:v>
                </c:pt>
                <c:pt idx="651">
                  <c:v>125</c:v>
                </c:pt>
                <c:pt idx="652">
                  <c:v>125</c:v>
                </c:pt>
                <c:pt idx="653">
                  <c:v>125</c:v>
                </c:pt>
                <c:pt idx="654">
                  <c:v>125</c:v>
                </c:pt>
                <c:pt idx="655">
                  <c:v>126</c:v>
                </c:pt>
                <c:pt idx="656">
                  <c:v>126</c:v>
                </c:pt>
                <c:pt idx="657">
                  <c:v>126</c:v>
                </c:pt>
                <c:pt idx="658">
                  <c:v>126</c:v>
                </c:pt>
                <c:pt idx="659">
                  <c:v>127</c:v>
                </c:pt>
                <c:pt idx="660">
                  <c:v>127</c:v>
                </c:pt>
                <c:pt idx="661">
                  <c:v>127</c:v>
                </c:pt>
                <c:pt idx="662">
                  <c:v>127</c:v>
                </c:pt>
                <c:pt idx="663">
                  <c:v>127</c:v>
                </c:pt>
                <c:pt idx="664">
                  <c:v>128</c:v>
                </c:pt>
                <c:pt idx="665">
                  <c:v>128</c:v>
                </c:pt>
                <c:pt idx="666">
                  <c:v>128</c:v>
                </c:pt>
                <c:pt idx="667">
                  <c:v>128</c:v>
                </c:pt>
                <c:pt idx="668">
                  <c:v>129</c:v>
                </c:pt>
                <c:pt idx="669">
                  <c:v>129</c:v>
                </c:pt>
                <c:pt idx="670">
                  <c:v>129</c:v>
                </c:pt>
                <c:pt idx="671">
                  <c:v>129</c:v>
                </c:pt>
                <c:pt idx="672">
                  <c:v>129</c:v>
                </c:pt>
                <c:pt idx="673">
                  <c:v>130</c:v>
                </c:pt>
                <c:pt idx="674">
                  <c:v>130</c:v>
                </c:pt>
                <c:pt idx="675">
                  <c:v>131</c:v>
                </c:pt>
                <c:pt idx="676">
                  <c:v>131</c:v>
                </c:pt>
                <c:pt idx="677">
                  <c:v>131</c:v>
                </c:pt>
                <c:pt idx="678">
                  <c:v>131</c:v>
                </c:pt>
                <c:pt idx="679">
                  <c:v>131</c:v>
                </c:pt>
                <c:pt idx="680">
                  <c:v>135</c:v>
                </c:pt>
                <c:pt idx="681">
                  <c:v>132</c:v>
                </c:pt>
                <c:pt idx="682">
                  <c:v>132</c:v>
                </c:pt>
                <c:pt idx="683">
                  <c:v>132</c:v>
                </c:pt>
                <c:pt idx="684">
                  <c:v>132</c:v>
                </c:pt>
                <c:pt idx="685">
                  <c:v>132</c:v>
                </c:pt>
                <c:pt idx="686">
                  <c:v>133</c:v>
                </c:pt>
                <c:pt idx="687">
                  <c:v>133</c:v>
                </c:pt>
                <c:pt idx="688">
                  <c:v>134</c:v>
                </c:pt>
                <c:pt idx="689">
                  <c:v>134</c:v>
                </c:pt>
                <c:pt idx="690">
                  <c:v>134</c:v>
                </c:pt>
                <c:pt idx="691">
                  <c:v>134</c:v>
                </c:pt>
                <c:pt idx="692">
                  <c:v>134</c:v>
                </c:pt>
                <c:pt idx="693">
                  <c:v>135</c:v>
                </c:pt>
                <c:pt idx="694">
                  <c:v>135</c:v>
                </c:pt>
                <c:pt idx="695">
                  <c:v>135</c:v>
                </c:pt>
                <c:pt idx="696">
                  <c:v>135</c:v>
                </c:pt>
                <c:pt idx="697">
                  <c:v>135</c:v>
                </c:pt>
                <c:pt idx="698">
                  <c:v>136</c:v>
                </c:pt>
                <c:pt idx="699">
                  <c:v>137</c:v>
                </c:pt>
                <c:pt idx="700">
                  <c:v>137</c:v>
                </c:pt>
                <c:pt idx="701">
                  <c:v>137</c:v>
                </c:pt>
                <c:pt idx="702">
                  <c:v>140</c:v>
                </c:pt>
                <c:pt idx="703">
                  <c:v>137</c:v>
                </c:pt>
                <c:pt idx="704">
                  <c:v>138</c:v>
                </c:pt>
                <c:pt idx="705">
                  <c:v>139</c:v>
                </c:pt>
                <c:pt idx="706">
                  <c:v>139</c:v>
                </c:pt>
                <c:pt idx="707">
                  <c:v>139</c:v>
                </c:pt>
                <c:pt idx="708">
                  <c:v>139</c:v>
                </c:pt>
                <c:pt idx="709">
                  <c:v>141</c:v>
                </c:pt>
                <c:pt idx="710">
                  <c:v>140</c:v>
                </c:pt>
                <c:pt idx="711">
                  <c:v>140</c:v>
                </c:pt>
                <c:pt idx="712">
                  <c:v>141</c:v>
                </c:pt>
                <c:pt idx="713">
                  <c:v>141</c:v>
                </c:pt>
                <c:pt idx="714">
                  <c:v>141</c:v>
                </c:pt>
                <c:pt idx="715">
                  <c:v>141</c:v>
                </c:pt>
                <c:pt idx="716">
                  <c:v>141</c:v>
                </c:pt>
                <c:pt idx="717">
                  <c:v>142</c:v>
                </c:pt>
                <c:pt idx="718">
                  <c:v>142</c:v>
                </c:pt>
                <c:pt idx="719">
                  <c:v>142</c:v>
                </c:pt>
                <c:pt idx="720">
                  <c:v>142</c:v>
                </c:pt>
                <c:pt idx="721">
                  <c:v>142</c:v>
                </c:pt>
                <c:pt idx="722">
                  <c:v>143</c:v>
                </c:pt>
                <c:pt idx="723">
                  <c:v>143</c:v>
                </c:pt>
                <c:pt idx="724">
                  <c:v>143</c:v>
                </c:pt>
                <c:pt idx="725">
                  <c:v>144</c:v>
                </c:pt>
                <c:pt idx="726">
                  <c:v>144</c:v>
                </c:pt>
                <c:pt idx="727">
                  <c:v>144</c:v>
                </c:pt>
                <c:pt idx="728">
                  <c:v>145</c:v>
                </c:pt>
                <c:pt idx="729">
                  <c:v>146</c:v>
                </c:pt>
                <c:pt idx="730">
                  <c:v>146</c:v>
                </c:pt>
                <c:pt idx="731">
                  <c:v>146</c:v>
                </c:pt>
                <c:pt idx="732">
                  <c:v>146</c:v>
                </c:pt>
                <c:pt idx="733">
                  <c:v>146</c:v>
                </c:pt>
                <c:pt idx="734">
                  <c:v>146</c:v>
                </c:pt>
                <c:pt idx="735">
                  <c:v>147</c:v>
                </c:pt>
                <c:pt idx="736">
                  <c:v>147</c:v>
                </c:pt>
                <c:pt idx="737">
                  <c:v>148</c:v>
                </c:pt>
                <c:pt idx="738">
                  <c:v>148</c:v>
                </c:pt>
                <c:pt idx="739">
                  <c:v>149</c:v>
                </c:pt>
                <c:pt idx="740">
                  <c:v>149</c:v>
                </c:pt>
                <c:pt idx="741">
                  <c:v>149</c:v>
                </c:pt>
                <c:pt idx="742">
                  <c:v>149</c:v>
                </c:pt>
                <c:pt idx="743">
                  <c:v>149</c:v>
                </c:pt>
                <c:pt idx="744">
                  <c:v>149</c:v>
                </c:pt>
                <c:pt idx="745">
                  <c:v>149</c:v>
                </c:pt>
                <c:pt idx="746">
                  <c:v>149</c:v>
                </c:pt>
                <c:pt idx="747">
                  <c:v>150</c:v>
                </c:pt>
                <c:pt idx="748">
                  <c:v>150</c:v>
                </c:pt>
                <c:pt idx="749">
                  <c:v>150</c:v>
                </c:pt>
                <c:pt idx="750">
                  <c:v>150</c:v>
                </c:pt>
                <c:pt idx="751">
                  <c:v>150</c:v>
                </c:pt>
                <c:pt idx="752">
                  <c:v>151</c:v>
                </c:pt>
                <c:pt idx="753">
                  <c:v>150</c:v>
                </c:pt>
                <c:pt idx="754">
                  <c:v>150</c:v>
                </c:pt>
                <c:pt idx="755">
                  <c:v>151</c:v>
                </c:pt>
                <c:pt idx="756">
                  <c:v>152</c:v>
                </c:pt>
                <c:pt idx="757">
                  <c:v>152</c:v>
                </c:pt>
                <c:pt idx="758">
                  <c:v>152</c:v>
                </c:pt>
                <c:pt idx="759">
                  <c:v>152</c:v>
                </c:pt>
                <c:pt idx="760">
                  <c:v>152</c:v>
                </c:pt>
                <c:pt idx="761">
                  <c:v>152</c:v>
                </c:pt>
                <c:pt idx="762">
                  <c:v>153</c:v>
                </c:pt>
                <c:pt idx="763">
                  <c:v>153</c:v>
                </c:pt>
                <c:pt idx="764">
                  <c:v>153</c:v>
                </c:pt>
                <c:pt idx="765">
                  <c:v>153</c:v>
                </c:pt>
                <c:pt idx="766">
                  <c:v>153</c:v>
                </c:pt>
                <c:pt idx="767">
                  <c:v>154</c:v>
                </c:pt>
                <c:pt idx="768">
                  <c:v>154</c:v>
                </c:pt>
                <c:pt idx="769">
                  <c:v>154</c:v>
                </c:pt>
                <c:pt idx="770">
                  <c:v>154</c:v>
                </c:pt>
                <c:pt idx="771">
                  <c:v>155</c:v>
                </c:pt>
                <c:pt idx="772">
                  <c:v>155</c:v>
                </c:pt>
                <c:pt idx="773">
                  <c:v>155</c:v>
                </c:pt>
                <c:pt idx="774">
                  <c:v>155</c:v>
                </c:pt>
                <c:pt idx="775">
                  <c:v>155</c:v>
                </c:pt>
                <c:pt idx="776">
                  <c:v>155</c:v>
                </c:pt>
                <c:pt idx="777">
                  <c:v>155</c:v>
                </c:pt>
                <c:pt idx="778">
                  <c:v>155</c:v>
                </c:pt>
                <c:pt idx="779">
                  <c:v>155</c:v>
                </c:pt>
                <c:pt idx="780">
                  <c:v>155</c:v>
                </c:pt>
                <c:pt idx="781">
                  <c:v>156</c:v>
                </c:pt>
                <c:pt idx="782">
                  <c:v>156</c:v>
                </c:pt>
                <c:pt idx="783">
                  <c:v>156</c:v>
                </c:pt>
                <c:pt idx="784">
                  <c:v>157</c:v>
                </c:pt>
                <c:pt idx="785">
                  <c:v>157</c:v>
                </c:pt>
                <c:pt idx="786">
                  <c:v>157</c:v>
                </c:pt>
                <c:pt idx="787">
                  <c:v>157</c:v>
                </c:pt>
                <c:pt idx="788">
                  <c:v>157</c:v>
                </c:pt>
                <c:pt idx="789">
                  <c:v>157</c:v>
                </c:pt>
                <c:pt idx="790">
                  <c:v>157</c:v>
                </c:pt>
                <c:pt idx="791">
                  <c:v>157</c:v>
                </c:pt>
                <c:pt idx="792">
                  <c:v>158</c:v>
                </c:pt>
                <c:pt idx="793">
                  <c:v>158</c:v>
                </c:pt>
                <c:pt idx="794">
                  <c:v>158</c:v>
                </c:pt>
                <c:pt idx="795">
                  <c:v>158</c:v>
                </c:pt>
                <c:pt idx="796">
                  <c:v>159</c:v>
                </c:pt>
                <c:pt idx="797">
                  <c:v>159</c:v>
                </c:pt>
                <c:pt idx="798">
                  <c:v>159</c:v>
                </c:pt>
                <c:pt idx="799">
                  <c:v>160</c:v>
                </c:pt>
                <c:pt idx="800">
                  <c:v>160</c:v>
                </c:pt>
                <c:pt idx="801">
                  <c:v>160</c:v>
                </c:pt>
                <c:pt idx="802">
                  <c:v>161</c:v>
                </c:pt>
                <c:pt idx="803">
                  <c:v>161</c:v>
                </c:pt>
                <c:pt idx="804">
                  <c:v>161</c:v>
                </c:pt>
                <c:pt idx="805">
                  <c:v>161</c:v>
                </c:pt>
                <c:pt idx="806">
                  <c:v>163</c:v>
                </c:pt>
                <c:pt idx="807">
                  <c:v>162</c:v>
                </c:pt>
                <c:pt idx="808">
                  <c:v>162</c:v>
                </c:pt>
                <c:pt idx="809">
                  <c:v>162</c:v>
                </c:pt>
                <c:pt idx="810">
                  <c:v>163</c:v>
                </c:pt>
                <c:pt idx="811">
                  <c:v>165</c:v>
                </c:pt>
                <c:pt idx="812">
                  <c:v>163</c:v>
                </c:pt>
                <c:pt idx="813">
                  <c:v>163</c:v>
                </c:pt>
                <c:pt idx="814">
                  <c:v>163</c:v>
                </c:pt>
                <c:pt idx="815">
                  <c:v>164</c:v>
                </c:pt>
                <c:pt idx="816">
                  <c:v>164</c:v>
                </c:pt>
                <c:pt idx="817">
                  <c:v>164</c:v>
                </c:pt>
                <c:pt idx="818">
                  <c:v>164</c:v>
                </c:pt>
                <c:pt idx="819">
                  <c:v>165</c:v>
                </c:pt>
                <c:pt idx="820">
                  <c:v>165</c:v>
                </c:pt>
                <c:pt idx="821">
                  <c:v>165</c:v>
                </c:pt>
                <c:pt idx="822">
                  <c:v>165</c:v>
                </c:pt>
                <c:pt idx="823">
                  <c:v>166</c:v>
                </c:pt>
                <c:pt idx="824">
                  <c:v>166</c:v>
                </c:pt>
                <c:pt idx="825">
                  <c:v>166</c:v>
                </c:pt>
                <c:pt idx="826">
                  <c:v>166</c:v>
                </c:pt>
                <c:pt idx="827">
                  <c:v>166</c:v>
                </c:pt>
                <c:pt idx="828">
                  <c:v>166</c:v>
                </c:pt>
                <c:pt idx="829">
                  <c:v>167</c:v>
                </c:pt>
                <c:pt idx="830">
                  <c:v>167</c:v>
                </c:pt>
                <c:pt idx="831">
                  <c:v>168</c:v>
                </c:pt>
                <c:pt idx="832">
                  <c:v>169</c:v>
                </c:pt>
                <c:pt idx="833">
                  <c:v>169</c:v>
                </c:pt>
                <c:pt idx="834">
                  <c:v>169</c:v>
                </c:pt>
                <c:pt idx="835">
                  <c:v>170</c:v>
                </c:pt>
                <c:pt idx="836">
                  <c:v>170</c:v>
                </c:pt>
                <c:pt idx="837">
                  <c:v>170</c:v>
                </c:pt>
                <c:pt idx="838">
                  <c:v>170</c:v>
                </c:pt>
                <c:pt idx="839">
                  <c:v>172</c:v>
                </c:pt>
                <c:pt idx="840">
                  <c:v>172</c:v>
                </c:pt>
                <c:pt idx="841">
                  <c:v>172</c:v>
                </c:pt>
                <c:pt idx="842">
                  <c:v>172</c:v>
                </c:pt>
                <c:pt idx="843">
                  <c:v>172</c:v>
                </c:pt>
                <c:pt idx="844">
                  <c:v>172</c:v>
                </c:pt>
                <c:pt idx="845">
                  <c:v>172</c:v>
                </c:pt>
                <c:pt idx="846">
                  <c:v>172</c:v>
                </c:pt>
                <c:pt idx="847">
                  <c:v>173</c:v>
                </c:pt>
                <c:pt idx="848">
                  <c:v>173</c:v>
                </c:pt>
                <c:pt idx="849">
                  <c:v>173</c:v>
                </c:pt>
                <c:pt idx="850">
                  <c:v>173</c:v>
                </c:pt>
                <c:pt idx="851">
                  <c:v>173</c:v>
                </c:pt>
                <c:pt idx="852">
                  <c:v>174</c:v>
                </c:pt>
                <c:pt idx="853">
                  <c:v>174</c:v>
                </c:pt>
                <c:pt idx="854">
                  <c:v>175</c:v>
                </c:pt>
                <c:pt idx="855">
                  <c:v>175</c:v>
                </c:pt>
                <c:pt idx="856">
                  <c:v>175</c:v>
                </c:pt>
                <c:pt idx="857">
                  <c:v>175</c:v>
                </c:pt>
                <c:pt idx="858">
                  <c:v>176</c:v>
                </c:pt>
                <c:pt idx="859">
                  <c:v>176</c:v>
                </c:pt>
                <c:pt idx="860">
                  <c:v>176</c:v>
                </c:pt>
                <c:pt idx="861">
                  <c:v>177</c:v>
                </c:pt>
                <c:pt idx="862">
                  <c:v>177</c:v>
                </c:pt>
                <c:pt idx="863">
                  <c:v>177</c:v>
                </c:pt>
                <c:pt idx="864">
                  <c:v>178</c:v>
                </c:pt>
                <c:pt idx="865">
                  <c:v>178</c:v>
                </c:pt>
                <c:pt idx="866">
                  <c:v>178</c:v>
                </c:pt>
                <c:pt idx="867">
                  <c:v>178</c:v>
                </c:pt>
                <c:pt idx="868">
                  <c:v>178</c:v>
                </c:pt>
                <c:pt idx="869">
                  <c:v>179</c:v>
                </c:pt>
                <c:pt idx="870">
                  <c:v>179</c:v>
                </c:pt>
                <c:pt idx="871">
                  <c:v>179</c:v>
                </c:pt>
                <c:pt idx="872">
                  <c:v>179</c:v>
                </c:pt>
                <c:pt idx="873">
                  <c:v>180</c:v>
                </c:pt>
                <c:pt idx="874">
                  <c:v>180</c:v>
                </c:pt>
                <c:pt idx="875">
                  <c:v>180</c:v>
                </c:pt>
                <c:pt idx="876">
                  <c:v>181</c:v>
                </c:pt>
                <c:pt idx="877">
                  <c:v>181</c:v>
                </c:pt>
                <c:pt idx="878">
                  <c:v>182</c:v>
                </c:pt>
                <c:pt idx="879">
                  <c:v>182</c:v>
                </c:pt>
                <c:pt idx="880">
                  <c:v>182</c:v>
                </c:pt>
                <c:pt idx="881">
                  <c:v>182</c:v>
                </c:pt>
                <c:pt idx="882">
                  <c:v>183</c:v>
                </c:pt>
                <c:pt idx="883">
                  <c:v>184</c:v>
                </c:pt>
                <c:pt idx="884">
                  <c:v>184</c:v>
                </c:pt>
                <c:pt idx="885">
                  <c:v>184</c:v>
                </c:pt>
                <c:pt idx="886">
                  <c:v>184</c:v>
                </c:pt>
                <c:pt idx="887">
                  <c:v>185</c:v>
                </c:pt>
                <c:pt idx="888">
                  <c:v>185</c:v>
                </c:pt>
                <c:pt idx="889">
                  <c:v>186</c:v>
                </c:pt>
                <c:pt idx="890">
                  <c:v>186</c:v>
                </c:pt>
                <c:pt idx="891">
                  <c:v>187</c:v>
                </c:pt>
                <c:pt idx="892">
                  <c:v>187</c:v>
                </c:pt>
                <c:pt idx="893">
                  <c:v>187</c:v>
                </c:pt>
                <c:pt idx="894">
                  <c:v>187</c:v>
                </c:pt>
                <c:pt idx="895">
                  <c:v>187</c:v>
                </c:pt>
                <c:pt idx="896">
                  <c:v>188</c:v>
                </c:pt>
                <c:pt idx="897">
                  <c:v>188</c:v>
                </c:pt>
                <c:pt idx="898">
                  <c:v>189</c:v>
                </c:pt>
                <c:pt idx="899">
                  <c:v>190</c:v>
                </c:pt>
                <c:pt idx="900">
                  <c:v>190</c:v>
                </c:pt>
                <c:pt idx="901">
                  <c:v>190</c:v>
                </c:pt>
                <c:pt idx="902">
                  <c:v>191</c:v>
                </c:pt>
                <c:pt idx="903">
                  <c:v>191</c:v>
                </c:pt>
                <c:pt idx="904">
                  <c:v>191</c:v>
                </c:pt>
                <c:pt idx="905">
                  <c:v>191</c:v>
                </c:pt>
                <c:pt idx="906">
                  <c:v>191</c:v>
                </c:pt>
                <c:pt idx="907">
                  <c:v>192</c:v>
                </c:pt>
                <c:pt idx="908">
                  <c:v>192</c:v>
                </c:pt>
                <c:pt idx="909">
                  <c:v>192</c:v>
                </c:pt>
                <c:pt idx="910">
                  <c:v>192</c:v>
                </c:pt>
                <c:pt idx="911">
                  <c:v>192</c:v>
                </c:pt>
                <c:pt idx="912">
                  <c:v>192</c:v>
                </c:pt>
                <c:pt idx="913">
                  <c:v>192</c:v>
                </c:pt>
                <c:pt idx="914">
                  <c:v>192</c:v>
                </c:pt>
                <c:pt idx="915">
                  <c:v>193</c:v>
                </c:pt>
                <c:pt idx="916">
                  <c:v>193</c:v>
                </c:pt>
                <c:pt idx="917">
                  <c:v>193</c:v>
                </c:pt>
                <c:pt idx="918">
                  <c:v>194</c:v>
                </c:pt>
                <c:pt idx="919">
                  <c:v>194</c:v>
                </c:pt>
                <c:pt idx="920">
                  <c:v>194</c:v>
                </c:pt>
                <c:pt idx="921">
                  <c:v>194</c:v>
                </c:pt>
                <c:pt idx="922">
                  <c:v>195</c:v>
                </c:pt>
                <c:pt idx="923">
                  <c:v>195</c:v>
                </c:pt>
                <c:pt idx="924">
                  <c:v>195</c:v>
                </c:pt>
                <c:pt idx="925">
                  <c:v>195</c:v>
                </c:pt>
                <c:pt idx="926">
                  <c:v>195</c:v>
                </c:pt>
                <c:pt idx="927">
                  <c:v>195</c:v>
                </c:pt>
                <c:pt idx="928">
                  <c:v>196</c:v>
                </c:pt>
                <c:pt idx="929">
                  <c:v>197</c:v>
                </c:pt>
                <c:pt idx="930">
                  <c:v>197</c:v>
                </c:pt>
                <c:pt idx="931">
                  <c:v>198</c:v>
                </c:pt>
                <c:pt idx="932">
                  <c:v>198</c:v>
                </c:pt>
                <c:pt idx="933">
                  <c:v>199</c:v>
                </c:pt>
                <c:pt idx="934">
                  <c:v>199</c:v>
                </c:pt>
                <c:pt idx="935">
                  <c:v>200</c:v>
                </c:pt>
                <c:pt idx="936">
                  <c:v>200</c:v>
                </c:pt>
                <c:pt idx="937">
                  <c:v>201</c:v>
                </c:pt>
                <c:pt idx="938">
                  <c:v>202</c:v>
                </c:pt>
                <c:pt idx="939">
                  <c:v>202</c:v>
                </c:pt>
                <c:pt idx="940">
                  <c:v>202</c:v>
                </c:pt>
                <c:pt idx="941">
                  <c:v>203</c:v>
                </c:pt>
                <c:pt idx="942">
                  <c:v>203</c:v>
                </c:pt>
                <c:pt idx="943">
                  <c:v>204</c:v>
                </c:pt>
                <c:pt idx="944">
                  <c:v>204</c:v>
                </c:pt>
                <c:pt idx="945">
                  <c:v>205</c:v>
                </c:pt>
                <c:pt idx="946">
                  <c:v>206</c:v>
                </c:pt>
                <c:pt idx="947">
                  <c:v>206</c:v>
                </c:pt>
                <c:pt idx="948">
                  <c:v>207</c:v>
                </c:pt>
                <c:pt idx="949">
                  <c:v>207</c:v>
                </c:pt>
                <c:pt idx="950">
                  <c:v>207</c:v>
                </c:pt>
                <c:pt idx="951">
                  <c:v>207</c:v>
                </c:pt>
                <c:pt idx="952">
                  <c:v>208</c:v>
                </c:pt>
                <c:pt idx="953">
                  <c:v>215</c:v>
                </c:pt>
                <c:pt idx="954">
                  <c:v>208</c:v>
                </c:pt>
                <c:pt idx="955">
                  <c:v>209</c:v>
                </c:pt>
                <c:pt idx="956">
                  <c:v>209</c:v>
                </c:pt>
                <c:pt idx="957">
                  <c:v>209</c:v>
                </c:pt>
                <c:pt idx="958">
                  <c:v>209</c:v>
                </c:pt>
                <c:pt idx="959">
                  <c:v>210</c:v>
                </c:pt>
                <c:pt idx="960">
                  <c:v>210</c:v>
                </c:pt>
                <c:pt idx="961">
                  <c:v>210</c:v>
                </c:pt>
                <c:pt idx="962">
                  <c:v>210</c:v>
                </c:pt>
                <c:pt idx="963">
                  <c:v>211</c:v>
                </c:pt>
                <c:pt idx="964">
                  <c:v>213</c:v>
                </c:pt>
                <c:pt idx="965">
                  <c:v>212</c:v>
                </c:pt>
                <c:pt idx="966">
                  <c:v>212</c:v>
                </c:pt>
                <c:pt idx="967">
                  <c:v>212</c:v>
                </c:pt>
                <c:pt idx="968">
                  <c:v>213</c:v>
                </c:pt>
                <c:pt idx="969">
                  <c:v>213</c:v>
                </c:pt>
                <c:pt idx="970">
                  <c:v>213</c:v>
                </c:pt>
                <c:pt idx="971">
                  <c:v>213</c:v>
                </c:pt>
                <c:pt idx="972">
                  <c:v>214</c:v>
                </c:pt>
                <c:pt idx="973">
                  <c:v>215</c:v>
                </c:pt>
                <c:pt idx="974">
                  <c:v>215</c:v>
                </c:pt>
                <c:pt idx="975">
                  <c:v>216</c:v>
                </c:pt>
                <c:pt idx="976">
                  <c:v>216</c:v>
                </c:pt>
                <c:pt idx="977">
                  <c:v>219</c:v>
                </c:pt>
                <c:pt idx="978">
                  <c:v>216</c:v>
                </c:pt>
                <c:pt idx="979">
                  <c:v>216</c:v>
                </c:pt>
                <c:pt idx="980">
                  <c:v>217</c:v>
                </c:pt>
                <c:pt idx="981">
                  <c:v>217</c:v>
                </c:pt>
                <c:pt idx="982">
                  <c:v>217</c:v>
                </c:pt>
                <c:pt idx="983">
                  <c:v>218</c:v>
                </c:pt>
                <c:pt idx="984">
                  <c:v>218</c:v>
                </c:pt>
                <c:pt idx="985">
                  <c:v>218</c:v>
                </c:pt>
                <c:pt idx="986">
                  <c:v>218</c:v>
                </c:pt>
                <c:pt idx="987">
                  <c:v>218</c:v>
                </c:pt>
                <c:pt idx="988">
                  <c:v>223</c:v>
                </c:pt>
                <c:pt idx="989">
                  <c:v>219</c:v>
                </c:pt>
                <c:pt idx="990">
                  <c:v>219</c:v>
                </c:pt>
                <c:pt idx="991">
                  <c:v>223</c:v>
                </c:pt>
                <c:pt idx="992">
                  <c:v>221</c:v>
                </c:pt>
                <c:pt idx="993">
                  <c:v>221</c:v>
                </c:pt>
                <c:pt idx="994">
                  <c:v>221</c:v>
                </c:pt>
                <c:pt idx="995">
                  <c:v>221</c:v>
                </c:pt>
                <c:pt idx="996">
                  <c:v>221</c:v>
                </c:pt>
                <c:pt idx="997">
                  <c:v>221</c:v>
                </c:pt>
                <c:pt idx="998">
                  <c:v>221</c:v>
                </c:pt>
                <c:pt idx="999">
                  <c:v>221</c:v>
                </c:pt>
                <c:pt idx="1000">
                  <c:v>221</c:v>
                </c:pt>
                <c:pt idx="1001">
                  <c:v>222</c:v>
                </c:pt>
                <c:pt idx="1002">
                  <c:v>222</c:v>
                </c:pt>
                <c:pt idx="1003">
                  <c:v>222</c:v>
                </c:pt>
                <c:pt idx="1004">
                  <c:v>222</c:v>
                </c:pt>
                <c:pt idx="1005">
                  <c:v>222</c:v>
                </c:pt>
                <c:pt idx="1006">
                  <c:v>222</c:v>
                </c:pt>
                <c:pt idx="1007">
                  <c:v>222</c:v>
                </c:pt>
                <c:pt idx="1008">
                  <c:v>222</c:v>
                </c:pt>
                <c:pt idx="1009">
                  <c:v>224</c:v>
                </c:pt>
                <c:pt idx="1010">
                  <c:v>223</c:v>
                </c:pt>
                <c:pt idx="1011">
                  <c:v>224</c:v>
                </c:pt>
                <c:pt idx="1012">
                  <c:v>224</c:v>
                </c:pt>
                <c:pt idx="1013">
                  <c:v>225</c:v>
                </c:pt>
                <c:pt idx="1014">
                  <c:v>225</c:v>
                </c:pt>
                <c:pt idx="1015">
                  <c:v>225</c:v>
                </c:pt>
                <c:pt idx="1016">
                  <c:v>225</c:v>
                </c:pt>
                <c:pt idx="1017">
                  <c:v>225</c:v>
                </c:pt>
                <c:pt idx="1018">
                  <c:v>226</c:v>
                </c:pt>
                <c:pt idx="1019">
                  <c:v>226</c:v>
                </c:pt>
                <c:pt idx="1020">
                  <c:v>226</c:v>
                </c:pt>
                <c:pt idx="1021">
                  <c:v>228</c:v>
                </c:pt>
                <c:pt idx="1022">
                  <c:v>227</c:v>
                </c:pt>
                <c:pt idx="1023">
                  <c:v>227</c:v>
                </c:pt>
                <c:pt idx="1024">
                  <c:v>227</c:v>
                </c:pt>
                <c:pt idx="1025">
                  <c:v>227</c:v>
                </c:pt>
                <c:pt idx="1026">
                  <c:v>228</c:v>
                </c:pt>
                <c:pt idx="1027">
                  <c:v>228</c:v>
                </c:pt>
                <c:pt idx="1028">
                  <c:v>228</c:v>
                </c:pt>
                <c:pt idx="1029">
                  <c:v>228</c:v>
                </c:pt>
                <c:pt idx="1030">
                  <c:v>231</c:v>
                </c:pt>
                <c:pt idx="1031">
                  <c:v>229</c:v>
                </c:pt>
                <c:pt idx="1032">
                  <c:v>233</c:v>
                </c:pt>
                <c:pt idx="1033">
                  <c:v>229</c:v>
                </c:pt>
                <c:pt idx="1034">
                  <c:v>229</c:v>
                </c:pt>
                <c:pt idx="1035">
                  <c:v>230</c:v>
                </c:pt>
                <c:pt idx="1036">
                  <c:v>230</c:v>
                </c:pt>
                <c:pt idx="1037">
                  <c:v>230</c:v>
                </c:pt>
                <c:pt idx="1038">
                  <c:v>230</c:v>
                </c:pt>
                <c:pt idx="1039">
                  <c:v>231</c:v>
                </c:pt>
                <c:pt idx="1040">
                  <c:v>233</c:v>
                </c:pt>
                <c:pt idx="1041">
                  <c:v>233</c:v>
                </c:pt>
                <c:pt idx="1042">
                  <c:v>233</c:v>
                </c:pt>
                <c:pt idx="1043">
                  <c:v>233</c:v>
                </c:pt>
                <c:pt idx="1044">
                  <c:v>233</c:v>
                </c:pt>
                <c:pt idx="1045">
                  <c:v>234</c:v>
                </c:pt>
                <c:pt idx="1046">
                  <c:v>235</c:v>
                </c:pt>
                <c:pt idx="1047">
                  <c:v>235</c:v>
                </c:pt>
                <c:pt idx="1048">
                  <c:v>235</c:v>
                </c:pt>
                <c:pt idx="1049">
                  <c:v>235</c:v>
                </c:pt>
                <c:pt idx="1050">
                  <c:v>236</c:v>
                </c:pt>
                <c:pt idx="1051">
                  <c:v>236</c:v>
                </c:pt>
                <c:pt idx="1052">
                  <c:v>236</c:v>
                </c:pt>
                <c:pt idx="1053">
                  <c:v>236</c:v>
                </c:pt>
                <c:pt idx="1054">
                  <c:v>237</c:v>
                </c:pt>
                <c:pt idx="1055">
                  <c:v>237</c:v>
                </c:pt>
                <c:pt idx="1056">
                  <c:v>237</c:v>
                </c:pt>
                <c:pt idx="1057">
                  <c:v>238</c:v>
                </c:pt>
                <c:pt idx="1058">
                  <c:v>238</c:v>
                </c:pt>
                <c:pt idx="1059">
                  <c:v>238</c:v>
                </c:pt>
                <c:pt idx="1060">
                  <c:v>239</c:v>
                </c:pt>
                <c:pt idx="1061">
                  <c:v>244</c:v>
                </c:pt>
                <c:pt idx="1062">
                  <c:v>239</c:v>
                </c:pt>
                <c:pt idx="1063">
                  <c:v>244</c:v>
                </c:pt>
                <c:pt idx="1064">
                  <c:v>241</c:v>
                </c:pt>
                <c:pt idx="1065">
                  <c:v>243</c:v>
                </c:pt>
                <c:pt idx="1066">
                  <c:v>242</c:v>
                </c:pt>
                <c:pt idx="1067">
                  <c:v>242</c:v>
                </c:pt>
                <c:pt idx="1068">
                  <c:v>244</c:v>
                </c:pt>
                <c:pt idx="1069">
                  <c:v>245</c:v>
                </c:pt>
                <c:pt idx="1070">
                  <c:v>245</c:v>
                </c:pt>
                <c:pt idx="1071">
                  <c:v>246</c:v>
                </c:pt>
                <c:pt idx="1072">
                  <c:v>246</c:v>
                </c:pt>
                <c:pt idx="1073">
                  <c:v>246</c:v>
                </c:pt>
                <c:pt idx="1074">
                  <c:v>247</c:v>
                </c:pt>
                <c:pt idx="1075">
                  <c:v>247</c:v>
                </c:pt>
                <c:pt idx="1076">
                  <c:v>247</c:v>
                </c:pt>
                <c:pt idx="1077">
                  <c:v>248</c:v>
                </c:pt>
                <c:pt idx="1078">
                  <c:v>249</c:v>
                </c:pt>
                <c:pt idx="1079">
                  <c:v>249</c:v>
                </c:pt>
                <c:pt idx="1080">
                  <c:v>250</c:v>
                </c:pt>
                <c:pt idx="1081">
                  <c:v>250</c:v>
                </c:pt>
                <c:pt idx="1082">
                  <c:v>251</c:v>
                </c:pt>
                <c:pt idx="1083">
                  <c:v>251</c:v>
                </c:pt>
                <c:pt idx="1084">
                  <c:v>252</c:v>
                </c:pt>
                <c:pt idx="1085">
                  <c:v>253</c:v>
                </c:pt>
                <c:pt idx="1086">
                  <c:v>253</c:v>
                </c:pt>
                <c:pt idx="1087">
                  <c:v>254</c:v>
                </c:pt>
                <c:pt idx="1088">
                  <c:v>254</c:v>
                </c:pt>
                <c:pt idx="1089">
                  <c:v>254</c:v>
                </c:pt>
                <c:pt idx="1090">
                  <c:v>254</c:v>
                </c:pt>
                <c:pt idx="1091">
                  <c:v>254</c:v>
                </c:pt>
                <c:pt idx="1092">
                  <c:v>254</c:v>
                </c:pt>
                <c:pt idx="1093">
                  <c:v>255</c:v>
                </c:pt>
                <c:pt idx="1094">
                  <c:v>255</c:v>
                </c:pt>
                <c:pt idx="1095">
                  <c:v>255</c:v>
                </c:pt>
                <c:pt idx="1096">
                  <c:v>255</c:v>
                </c:pt>
                <c:pt idx="1097">
                  <c:v>255</c:v>
                </c:pt>
                <c:pt idx="1098">
                  <c:v>259</c:v>
                </c:pt>
                <c:pt idx="1099">
                  <c:v>256</c:v>
                </c:pt>
                <c:pt idx="1100">
                  <c:v>256</c:v>
                </c:pt>
                <c:pt idx="1101">
                  <c:v>258</c:v>
                </c:pt>
                <c:pt idx="1102">
                  <c:v>257</c:v>
                </c:pt>
                <c:pt idx="1103">
                  <c:v>258</c:v>
                </c:pt>
                <c:pt idx="1104">
                  <c:v>258</c:v>
                </c:pt>
                <c:pt idx="1105">
                  <c:v>260</c:v>
                </c:pt>
                <c:pt idx="1106">
                  <c:v>261</c:v>
                </c:pt>
                <c:pt idx="1107">
                  <c:v>260</c:v>
                </c:pt>
                <c:pt idx="1108">
                  <c:v>261</c:v>
                </c:pt>
                <c:pt idx="1109">
                  <c:v>261</c:v>
                </c:pt>
                <c:pt idx="1110">
                  <c:v>262</c:v>
                </c:pt>
                <c:pt idx="1111">
                  <c:v>262</c:v>
                </c:pt>
                <c:pt idx="1112">
                  <c:v>263</c:v>
                </c:pt>
                <c:pt idx="1113">
                  <c:v>263</c:v>
                </c:pt>
                <c:pt idx="1114">
                  <c:v>263</c:v>
                </c:pt>
                <c:pt idx="1115">
                  <c:v>265</c:v>
                </c:pt>
                <c:pt idx="1116">
                  <c:v>264</c:v>
                </c:pt>
                <c:pt idx="1117">
                  <c:v>264</c:v>
                </c:pt>
                <c:pt idx="1118">
                  <c:v>265</c:v>
                </c:pt>
                <c:pt idx="1119">
                  <c:v>265</c:v>
                </c:pt>
                <c:pt idx="1120">
                  <c:v>266</c:v>
                </c:pt>
                <c:pt idx="1121">
                  <c:v>267</c:v>
                </c:pt>
                <c:pt idx="1122">
                  <c:v>268</c:v>
                </c:pt>
                <c:pt idx="1123">
                  <c:v>269</c:v>
                </c:pt>
                <c:pt idx="1124">
                  <c:v>272</c:v>
                </c:pt>
                <c:pt idx="1125">
                  <c:v>270</c:v>
                </c:pt>
                <c:pt idx="1126">
                  <c:v>272</c:v>
                </c:pt>
                <c:pt idx="1127">
                  <c:v>272</c:v>
                </c:pt>
                <c:pt idx="1128">
                  <c:v>272</c:v>
                </c:pt>
                <c:pt idx="1129">
                  <c:v>272</c:v>
                </c:pt>
                <c:pt idx="1130">
                  <c:v>272</c:v>
                </c:pt>
                <c:pt idx="1131">
                  <c:v>273</c:v>
                </c:pt>
                <c:pt idx="1132">
                  <c:v>274</c:v>
                </c:pt>
                <c:pt idx="1133">
                  <c:v>275</c:v>
                </c:pt>
                <c:pt idx="1134">
                  <c:v>275</c:v>
                </c:pt>
                <c:pt idx="1135">
                  <c:v>278</c:v>
                </c:pt>
                <c:pt idx="1136">
                  <c:v>275</c:v>
                </c:pt>
                <c:pt idx="1137">
                  <c:v>275</c:v>
                </c:pt>
                <c:pt idx="1138">
                  <c:v>276</c:v>
                </c:pt>
                <c:pt idx="1139">
                  <c:v>276</c:v>
                </c:pt>
                <c:pt idx="1140">
                  <c:v>276</c:v>
                </c:pt>
                <c:pt idx="1141">
                  <c:v>276</c:v>
                </c:pt>
                <c:pt idx="1142">
                  <c:v>276</c:v>
                </c:pt>
                <c:pt idx="1143">
                  <c:v>277</c:v>
                </c:pt>
                <c:pt idx="1144">
                  <c:v>279</c:v>
                </c:pt>
                <c:pt idx="1145">
                  <c:v>279</c:v>
                </c:pt>
                <c:pt idx="1146">
                  <c:v>280</c:v>
                </c:pt>
                <c:pt idx="1147">
                  <c:v>280</c:v>
                </c:pt>
                <c:pt idx="1148">
                  <c:v>280</c:v>
                </c:pt>
                <c:pt idx="1149">
                  <c:v>280</c:v>
                </c:pt>
                <c:pt idx="1150">
                  <c:v>282</c:v>
                </c:pt>
                <c:pt idx="1151">
                  <c:v>281</c:v>
                </c:pt>
                <c:pt idx="1152">
                  <c:v>281</c:v>
                </c:pt>
                <c:pt idx="1153">
                  <c:v>281</c:v>
                </c:pt>
                <c:pt idx="1154">
                  <c:v>281</c:v>
                </c:pt>
                <c:pt idx="1155">
                  <c:v>282</c:v>
                </c:pt>
                <c:pt idx="1156">
                  <c:v>283</c:v>
                </c:pt>
                <c:pt idx="1157">
                  <c:v>284</c:v>
                </c:pt>
                <c:pt idx="1158">
                  <c:v>284</c:v>
                </c:pt>
                <c:pt idx="1159">
                  <c:v>286</c:v>
                </c:pt>
                <c:pt idx="1160">
                  <c:v>287</c:v>
                </c:pt>
                <c:pt idx="1161">
                  <c:v>288</c:v>
                </c:pt>
                <c:pt idx="1162">
                  <c:v>288</c:v>
                </c:pt>
                <c:pt idx="1163">
                  <c:v>296</c:v>
                </c:pt>
                <c:pt idx="1164">
                  <c:v>289</c:v>
                </c:pt>
                <c:pt idx="1165">
                  <c:v>290</c:v>
                </c:pt>
                <c:pt idx="1166">
                  <c:v>290</c:v>
                </c:pt>
                <c:pt idx="1167">
                  <c:v>290</c:v>
                </c:pt>
                <c:pt idx="1168">
                  <c:v>292</c:v>
                </c:pt>
                <c:pt idx="1169">
                  <c:v>291</c:v>
                </c:pt>
                <c:pt idx="1170">
                  <c:v>291</c:v>
                </c:pt>
                <c:pt idx="1171">
                  <c:v>291</c:v>
                </c:pt>
                <c:pt idx="1172">
                  <c:v>291</c:v>
                </c:pt>
                <c:pt idx="1173">
                  <c:v>292</c:v>
                </c:pt>
                <c:pt idx="1174">
                  <c:v>292</c:v>
                </c:pt>
                <c:pt idx="1175">
                  <c:v>293</c:v>
                </c:pt>
                <c:pt idx="1176">
                  <c:v>293</c:v>
                </c:pt>
                <c:pt idx="1177">
                  <c:v>293</c:v>
                </c:pt>
                <c:pt idx="1178">
                  <c:v>294</c:v>
                </c:pt>
                <c:pt idx="1179">
                  <c:v>297</c:v>
                </c:pt>
                <c:pt idx="1180">
                  <c:v>294</c:v>
                </c:pt>
                <c:pt idx="1181">
                  <c:v>294</c:v>
                </c:pt>
                <c:pt idx="1182">
                  <c:v>294</c:v>
                </c:pt>
                <c:pt idx="1183">
                  <c:v>294</c:v>
                </c:pt>
                <c:pt idx="1184">
                  <c:v>295</c:v>
                </c:pt>
                <c:pt idx="1185">
                  <c:v>297</c:v>
                </c:pt>
                <c:pt idx="1186">
                  <c:v>297</c:v>
                </c:pt>
                <c:pt idx="1187">
                  <c:v>297</c:v>
                </c:pt>
                <c:pt idx="1188">
                  <c:v>297</c:v>
                </c:pt>
                <c:pt idx="1189">
                  <c:v>297</c:v>
                </c:pt>
                <c:pt idx="1190">
                  <c:v>297</c:v>
                </c:pt>
                <c:pt idx="1191">
                  <c:v>298</c:v>
                </c:pt>
                <c:pt idx="1192">
                  <c:v>298</c:v>
                </c:pt>
                <c:pt idx="1193">
                  <c:v>298</c:v>
                </c:pt>
                <c:pt idx="1194">
                  <c:v>299</c:v>
                </c:pt>
                <c:pt idx="1195">
                  <c:v>300</c:v>
                </c:pt>
                <c:pt idx="1196">
                  <c:v>300</c:v>
                </c:pt>
                <c:pt idx="1197">
                  <c:v>301</c:v>
                </c:pt>
                <c:pt idx="1198">
                  <c:v>303</c:v>
                </c:pt>
                <c:pt idx="1199">
                  <c:v>301</c:v>
                </c:pt>
                <c:pt idx="1200">
                  <c:v>303</c:v>
                </c:pt>
                <c:pt idx="1201">
                  <c:v>303</c:v>
                </c:pt>
                <c:pt idx="1202">
                  <c:v>305</c:v>
                </c:pt>
                <c:pt idx="1203">
                  <c:v>309</c:v>
                </c:pt>
                <c:pt idx="1204">
                  <c:v>305</c:v>
                </c:pt>
                <c:pt idx="1205">
                  <c:v>307</c:v>
                </c:pt>
                <c:pt idx="1206">
                  <c:v>310</c:v>
                </c:pt>
                <c:pt idx="1207">
                  <c:v>307</c:v>
                </c:pt>
                <c:pt idx="1208">
                  <c:v>308</c:v>
                </c:pt>
                <c:pt idx="1209">
                  <c:v>308</c:v>
                </c:pt>
                <c:pt idx="1210">
                  <c:v>308</c:v>
                </c:pt>
                <c:pt idx="1211">
                  <c:v>308</c:v>
                </c:pt>
                <c:pt idx="1212">
                  <c:v>309</c:v>
                </c:pt>
                <c:pt idx="1213">
                  <c:v>309</c:v>
                </c:pt>
                <c:pt idx="1214">
                  <c:v>309</c:v>
                </c:pt>
                <c:pt idx="1215">
                  <c:v>310</c:v>
                </c:pt>
                <c:pt idx="1216">
                  <c:v>311</c:v>
                </c:pt>
                <c:pt idx="1217">
                  <c:v>311</c:v>
                </c:pt>
                <c:pt idx="1218">
                  <c:v>312</c:v>
                </c:pt>
                <c:pt idx="1219">
                  <c:v>312</c:v>
                </c:pt>
                <c:pt idx="1220">
                  <c:v>312</c:v>
                </c:pt>
                <c:pt idx="1221">
                  <c:v>316</c:v>
                </c:pt>
                <c:pt idx="1222">
                  <c:v>313</c:v>
                </c:pt>
                <c:pt idx="1223">
                  <c:v>314</c:v>
                </c:pt>
                <c:pt idx="1224">
                  <c:v>315</c:v>
                </c:pt>
                <c:pt idx="1225">
                  <c:v>315</c:v>
                </c:pt>
                <c:pt idx="1226">
                  <c:v>315</c:v>
                </c:pt>
                <c:pt idx="1227">
                  <c:v>315</c:v>
                </c:pt>
                <c:pt idx="1228">
                  <c:v>316</c:v>
                </c:pt>
                <c:pt idx="1229">
                  <c:v>316</c:v>
                </c:pt>
                <c:pt idx="1230">
                  <c:v>316</c:v>
                </c:pt>
                <c:pt idx="1231">
                  <c:v>317</c:v>
                </c:pt>
                <c:pt idx="1232">
                  <c:v>317</c:v>
                </c:pt>
                <c:pt idx="1233">
                  <c:v>318</c:v>
                </c:pt>
                <c:pt idx="1234">
                  <c:v>318</c:v>
                </c:pt>
                <c:pt idx="1235">
                  <c:v>318</c:v>
                </c:pt>
                <c:pt idx="1236">
                  <c:v>319</c:v>
                </c:pt>
                <c:pt idx="1237">
                  <c:v>319</c:v>
                </c:pt>
                <c:pt idx="1238">
                  <c:v>320</c:v>
                </c:pt>
                <c:pt idx="1239">
                  <c:v>321</c:v>
                </c:pt>
                <c:pt idx="1240">
                  <c:v>321</c:v>
                </c:pt>
                <c:pt idx="1241">
                  <c:v>323</c:v>
                </c:pt>
                <c:pt idx="1242">
                  <c:v>322</c:v>
                </c:pt>
                <c:pt idx="1243">
                  <c:v>322</c:v>
                </c:pt>
                <c:pt idx="1244">
                  <c:v>323</c:v>
                </c:pt>
                <c:pt idx="1245">
                  <c:v>323</c:v>
                </c:pt>
                <c:pt idx="1246">
                  <c:v>323</c:v>
                </c:pt>
                <c:pt idx="1247">
                  <c:v>324</c:v>
                </c:pt>
                <c:pt idx="1248">
                  <c:v>324</c:v>
                </c:pt>
                <c:pt idx="1249">
                  <c:v>324</c:v>
                </c:pt>
                <c:pt idx="1250">
                  <c:v>324</c:v>
                </c:pt>
                <c:pt idx="1251">
                  <c:v>324</c:v>
                </c:pt>
                <c:pt idx="1252">
                  <c:v>325</c:v>
                </c:pt>
                <c:pt idx="1253">
                  <c:v>325</c:v>
                </c:pt>
                <c:pt idx="1254">
                  <c:v>326</c:v>
                </c:pt>
                <c:pt idx="1255">
                  <c:v>327</c:v>
                </c:pt>
                <c:pt idx="1256">
                  <c:v>328</c:v>
                </c:pt>
                <c:pt idx="1257">
                  <c:v>328</c:v>
                </c:pt>
                <c:pt idx="1258">
                  <c:v>328</c:v>
                </c:pt>
                <c:pt idx="1259">
                  <c:v>330</c:v>
                </c:pt>
                <c:pt idx="1260">
                  <c:v>328</c:v>
                </c:pt>
                <c:pt idx="1261">
                  <c:v>328</c:v>
                </c:pt>
                <c:pt idx="1262">
                  <c:v>329</c:v>
                </c:pt>
                <c:pt idx="1263">
                  <c:v>329</c:v>
                </c:pt>
                <c:pt idx="1264">
                  <c:v>329</c:v>
                </c:pt>
                <c:pt idx="1265">
                  <c:v>330</c:v>
                </c:pt>
                <c:pt idx="1266">
                  <c:v>330</c:v>
                </c:pt>
                <c:pt idx="1267">
                  <c:v>330</c:v>
                </c:pt>
                <c:pt idx="1268">
                  <c:v>331</c:v>
                </c:pt>
                <c:pt idx="1269">
                  <c:v>332</c:v>
                </c:pt>
                <c:pt idx="1270">
                  <c:v>332</c:v>
                </c:pt>
                <c:pt idx="1271">
                  <c:v>337</c:v>
                </c:pt>
                <c:pt idx="1272">
                  <c:v>333</c:v>
                </c:pt>
                <c:pt idx="1273">
                  <c:v>334</c:v>
                </c:pt>
                <c:pt idx="1274">
                  <c:v>334</c:v>
                </c:pt>
                <c:pt idx="1275">
                  <c:v>334</c:v>
                </c:pt>
                <c:pt idx="1276">
                  <c:v>335</c:v>
                </c:pt>
                <c:pt idx="1277">
                  <c:v>335</c:v>
                </c:pt>
                <c:pt idx="1278">
                  <c:v>339</c:v>
                </c:pt>
                <c:pt idx="1279">
                  <c:v>340</c:v>
                </c:pt>
                <c:pt idx="1280">
                  <c:v>339</c:v>
                </c:pt>
                <c:pt idx="1281">
                  <c:v>339</c:v>
                </c:pt>
                <c:pt idx="1282">
                  <c:v>340</c:v>
                </c:pt>
                <c:pt idx="1283">
                  <c:v>341</c:v>
                </c:pt>
                <c:pt idx="1284">
                  <c:v>341</c:v>
                </c:pt>
                <c:pt idx="1285">
                  <c:v>341</c:v>
                </c:pt>
                <c:pt idx="1286">
                  <c:v>342</c:v>
                </c:pt>
                <c:pt idx="1287">
                  <c:v>342</c:v>
                </c:pt>
                <c:pt idx="1288">
                  <c:v>342</c:v>
                </c:pt>
                <c:pt idx="1289">
                  <c:v>342</c:v>
                </c:pt>
                <c:pt idx="1290">
                  <c:v>343</c:v>
                </c:pt>
                <c:pt idx="1291">
                  <c:v>343</c:v>
                </c:pt>
                <c:pt idx="1292">
                  <c:v>343</c:v>
                </c:pt>
                <c:pt idx="1293">
                  <c:v>344</c:v>
                </c:pt>
                <c:pt idx="1294">
                  <c:v>345</c:v>
                </c:pt>
                <c:pt idx="1295">
                  <c:v>346</c:v>
                </c:pt>
                <c:pt idx="1296">
                  <c:v>346</c:v>
                </c:pt>
                <c:pt idx="1297">
                  <c:v>348</c:v>
                </c:pt>
                <c:pt idx="1298">
                  <c:v>347</c:v>
                </c:pt>
                <c:pt idx="1299">
                  <c:v>347</c:v>
                </c:pt>
                <c:pt idx="1300">
                  <c:v>349</c:v>
                </c:pt>
                <c:pt idx="1301">
                  <c:v>350</c:v>
                </c:pt>
                <c:pt idx="1302">
                  <c:v>348</c:v>
                </c:pt>
                <c:pt idx="1303">
                  <c:v>349</c:v>
                </c:pt>
                <c:pt idx="1304">
                  <c:v>349</c:v>
                </c:pt>
                <c:pt idx="1305">
                  <c:v>349</c:v>
                </c:pt>
                <c:pt idx="1306">
                  <c:v>349</c:v>
                </c:pt>
                <c:pt idx="1307">
                  <c:v>350</c:v>
                </c:pt>
                <c:pt idx="1308">
                  <c:v>351</c:v>
                </c:pt>
                <c:pt idx="1309">
                  <c:v>351</c:v>
                </c:pt>
                <c:pt idx="1310">
                  <c:v>351</c:v>
                </c:pt>
                <c:pt idx="1311">
                  <c:v>351</c:v>
                </c:pt>
                <c:pt idx="1312">
                  <c:v>351</c:v>
                </c:pt>
                <c:pt idx="1313">
                  <c:v>352</c:v>
                </c:pt>
                <c:pt idx="1314">
                  <c:v>353</c:v>
                </c:pt>
                <c:pt idx="1315">
                  <c:v>352</c:v>
                </c:pt>
                <c:pt idx="1316">
                  <c:v>353</c:v>
                </c:pt>
                <c:pt idx="1317">
                  <c:v>353</c:v>
                </c:pt>
                <c:pt idx="1318">
                  <c:v>354</c:v>
                </c:pt>
                <c:pt idx="1319">
                  <c:v>354</c:v>
                </c:pt>
                <c:pt idx="1320">
                  <c:v>367</c:v>
                </c:pt>
                <c:pt idx="1321">
                  <c:v>355</c:v>
                </c:pt>
                <c:pt idx="1322">
                  <c:v>356</c:v>
                </c:pt>
                <c:pt idx="1323">
                  <c:v>356</c:v>
                </c:pt>
                <c:pt idx="1324">
                  <c:v>356</c:v>
                </c:pt>
                <c:pt idx="1325">
                  <c:v>357</c:v>
                </c:pt>
                <c:pt idx="1326">
                  <c:v>357</c:v>
                </c:pt>
                <c:pt idx="1327">
                  <c:v>357</c:v>
                </c:pt>
                <c:pt idx="1328">
                  <c:v>358</c:v>
                </c:pt>
                <c:pt idx="1329">
                  <c:v>358</c:v>
                </c:pt>
                <c:pt idx="1330">
                  <c:v>359</c:v>
                </c:pt>
                <c:pt idx="1331">
                  <c:v>360</c:v>
                </c:pt>
                <c:pt idx="1332">
                  <c:v>360</c:v>
                </c:pt>
                <c:pt idx="1333">
                  <c:v>361</c:v>
                </c:pt>
                <c:pt idx="1334">
                  <c:v>362</c:v>
                </c:pt>
                <c:pt idx="1335">
                  <c:v>362</c:v>
                </c:pt>
                <c:pt idx="1336">
                  <c:v>362</c:v>
                </c:pt>
                <c:pt idx="1337">
                  <c:v>363</c:v>
                </c:pt>
                <c:pt idx="1338">
                  <c:v>363</c:v>
                </c:pt>
                <c:pt idx="1339">
                  <c:v>364</c:v>
                </c:pt>
                <c:pt idx="1340">
                  <c:v>364</c:v>
                </c:pt>
                <c:pt idx="1341">
                  <c:v>364</c:v>
                </c:pt>
                <c:pt idx="1342">
                  <c:v>364</c:v>
                </c:pt>
                <c:pt idx="1343">
                  <c:v>365</c:v>
                </c:pt>
                <c:pt idx="1344">
                  <c:v>365</c:v>
                </c:pt>
                <c:pt idx="1345">
                  <c:v>366</c:v>
                </c:pt>
                <c:pt idx="1346">
                  <c:v>366</c:v>
                </c:pt>
                <c:pt idx="1347">
                  <c:v>366</c:v>
                </c:pt>
                <c:pt idx="1348">
                  <c:v>367</c:v>
                </c:pt>
                <c:pt idx="1349">
                  <c:v>373</c:v>
                </c:pt>
                <c:pt idx="1350">
                  <c:v>371</c:v>
                </c:pt>
                <c:pt idx="1351">
                  <c:v>368</c:v>
                </c:pt>
                <c:pt idx="1352">
                  <c:v>371</c:v>
                </c:pt>
                <c:pt idx="1353">
                  <c:v>370</c:v>
                </c:pt>
                <c:pt idx="1354">
                  <c:v>370</c:v>
                </c:pt>
                <c:pt idx="1355">
                  <c:v>371</c:v>
                </c:pt>
                <c:pt idx="1356">
                  <c:v>371</c:v>
                </c:pt>
                <c:pt idx="1357">
                  <c:v>374</c:v>
                </c:pt>
                <c:pt idx="1358">
                  <c:v>374</c:v>
                </c:pt>
                <c:pt idx="1359">
                  <c:v>375</c:v>
                </c:pt>
                <c:pt idx="1360">
                  <c:v>375</c:v>
                </c:pt>
                <c:pt idx="1361">
                  <c:v>375</c:v>
                </c:pt>
                <c:pt idx="1362">
                  <c:v>376</c:v>
                </c:pt>
                <c:pt idx="1363">
                  <c:v>376</c:v>
                </c:pt>
                <c:pt idx="1364">
                  <c:v>376</c:v>
                </c:pt>
                <c:pt idx="1365">
                  <c:v>377</c:v>
                </c:pt>
                <c:pt idx="1366">
                  <c:v>379</c:v>
                </c:pt>
                <c:pt idx="1367">
                  <c:v>379</c:v>
                </c:pt>
                <c:pt idx="1368">
                  <c:v>380</c:v>
                </c:pt>
                <c:pt idx="1369">
                  <c:v>380</c:v>
                </c:pt>
                <c:pt idx="1370">
                  <c:v>381</c:v>
                </c:pt>
                <c:pt idx="1371">
                  <c:v>381</c:v>
                </c:pt>
                <c:pt idx="1372">
                  <c:v>381</c:v>
                </c:pt>
                <c:pt idx="1373">
                  <c:v>383</c:v>
                </c:pt>
                <c:pt idx="1374">
                  <c:v>382</c:v>
                </c:pt>
                <c:pt idx="1375">
                  <c:v>383</c:v>
                </c:pt>
                <c:pt idx="1376">
                  <c:v>389</c:v>
                </c:pt>
                <c:pt idx="1377">
                  <c:v>387</c:v>
                </c:pt>
                <c:pt idx="1378">
                  <c:v>388</c:v>
                </c:pt>
                <c:pt idx="1379">
                  <c:v>388</c:v>
                </c:pt>
                <c:pt idx="1380">
                  <c:v>388</c:v>
                </c:pt>
                <c:pt idx="1381">
                  <c:v>389</c:v>
                </c:pt>
                <c:pt idx="1382">
                  <c:v>391</c:v>
                </c:pt>
                <c:pt idx="1383">
                  <c:v>391</c:v>
                </c:pt>
                <c:pt idx="1384">
                  <c:v>392</c:v>
                </c:pt>
                <c:pt idx="1385">
                  <c:v>391</c:v>
                </c:pt>
                <c:pt idx="1386">
                  <c:v>392</c:v>
                </c:pt>
                <c:pt idx="1387">
                  <c:v>392</c:v>
                </c:pt>
                <c:pt idx="1388">
                  <c:v>392</c:v>
                </c:pt>
                <c:pt idx="1389">
                  <c:v>393</c:v>
                </c:pt>
                <c:pt idx="1390">
                  <c:v>393</c:v>
                </c:pt>
                <c:pt idx="1391">
                  <c:v>393</c:v>
                </c:pt>
                <c:pt idx="1392">
                  <c:v>394</c:v>
                </c:pt>
                <c:pt idx="1393">
                  <c:v>394</c:v>
                </c:pt>
                <c:pt idx="1394">
                  <c:v>395</c:v>
                </c:pt>
                <c:pt idx="1395">
                  <c:v>396</c:v>
                </c:pt>
                <c:pt idx="1396">
                  <c:v>401</c:v>
                </c:pt>
                <c:pt idx="1397">
                  <c:v>396</c:v>
                </c:pt>
                <c:pt idx="1398">
                  <c:v>397</c:v>
                </c:pt>
                <c:pt idx="1399">
                  <c:v>397</c:v>
                </c:pt>
                <c:pt idx="1400">
                  <c:v>398</c:v>
                </c:pt>
                <c:pt idx="1401">
                  <c:v>402</c:v>
                </c:pt>
                <c:pt idx="1402">
                  <c:v>399</c:v>
                </c:pt>
                <c:pt idx="1403">
                  <c:v>399</c:v>
                </c:pt>
                <c:pt idx="1404">
                  <c:v>400</c:v>
                </c:pt>
                <c:pt idx="1405">
                  <c:v>399</c:v>
                </c:pt>
                <c:pt idx="1406">
                  <c:v>402</c:v>
                </c:pt>
                <c:pt idx="1407">
                  <c:v>400</c:v>
                </c:pt>
                <c:pt idx="1408">
                  <c:v>406</c:v>
                </c:pt>
                <c:pt idx="1409">
                  <c:v>404</c:v>
                </c:pt>
                <c:pt idx="1410">
                  <c:v>404</c:v>
                </c:pt>
                <c:pt idx="1411">
                  <c:v>407</c:v>
                </c:pt>
                <c:pt idx="1412">
                  <c:v>405</c:v>
                </c:pt>
                <c:pt idx="1413">
                  <c:v>409</c:v>
                </c:pt>
                <c:pt idx="1414">
                  <c:v>409</c:v>
                </c:pt>
                <c:pt idx="1415">
                  <c:v>425</c:v>
                </c:pt>
                <c:pt idx="1416">
                  <c:v>413</c:v>
                </c:pt>
                <c:pt idx="1417">
                  <c:v>413</c:v>
                </c:pt>
                <c:pt idx="1418">
                  <c:v>425</c:v>
                </c:pt>
                <c:pt idx="1419">
                  <c:v>414</c:v>
                </c:pt>
                <c:pt idx="1420">
                  <c:v>414</c:v>
                </c:pt>
                <c:pt idx="1421">
                  <c:v>416</c:v>
                </c:pt>
                <c:pt idx="1422">
                  <c:v>417</c:v>
                </c:pt>
                <c:pt idx="1423">
                  <c:v>417</c:v>
                </c:pt>
                <c:pt idx="1424">
                  <c:v>417</c:v>
                </c:pt>
                <c:pt idx="1425">
                  <c:v>418</c:v>
                </c:pt>
                <c:pt idx="1426">
                  <c:v>418</c:v>
                </c:pt>
                <c:pt idx="1427">
                  <c:v>420</c:v>
                </c:pt>
                <c:pt idx="1428">
                  <c:v>420</c:v>
                </c:pt>
                <c:pt idx="1429">
                  <c:v>421</c:v>
                </c:pt>
                <c:pt idx="1430">
                  <c:v>420</c:v>
                </c:pt>
                <c:pt idx="1431">
                  <c:v>420</c:v>
                </c:pt>
                <c:pt idx="1432">
                  <c:v>420</c:v>
                </c:pt>
                <c:pt idx="1433">
                  <c:v>421</c:v>
                </c:pt>
                <c:pt idx="1434">
                  <c:v>421</c:v>
                </c:pt>
                <c:pt idx="1435">
                  <c:v>421</c:v>
                </c:pt>
                <c:pt idx="1436">
                  <c:v>422</c:v>
                </c:pt>
                <c:pt idx="1437">
                  <c:v>422</c:v>
                </c:pt>
                <c:pt idx="1438">
                  <c:v>424</c:v>
                </c:pt>
                <c:pt idx="1439">
                  <c:v>423</c:v>
                </c:pt>
                <c:pt idx="1440">
                  <c:v>429</c:v>
                </c:pt>
                <c:pt idx="1441">
                  <c:v>424</c:v>
                </c:pt>
                <c:pt idx="1442">
                  <c:v>424</c:v>
                </c:pt>
                <c:pt idx="1443">
                  <c:v>424</c:v>
                </c:pt>
                <c:pt idx="1444">
                  <c:v>429</c:v>
                </c:pt>
                <c:pt idx="1445">
                  <c:v>437</c:v>
                </c:pt>
                <c:pt idx="1446">
                  <c:v>425</c:v>
                </c:pt>
                <c:pt idx="1447">
                  <c:v>425</c:v>
                </c:pt>
                <c:pt idx="1448">
                  <c:v>425</c:v>
                </c:pt>
                <c:pt idx="1449">
                  <c:v>426</c:v>
                </c:pt>
                <c:pt idx="1450">
                  <c:v>431</c:v>
                </c:pt>
                <c:pt idx="1451">
                  <c:v>428</c:v>
                </c:pt>
                <c:pt idx="1452">
                  <c:v>428</c:v>
                </c:pt>
                <c:pt idx="1453">
                  <c:v>428</c:v>
                </c:pt>
                <c:pt idx="1454">
                  <c:v>428</c:v>
                </c:pt>
                <c:pt idx="1455">
                  <c:v>436</c:v>
                </c:pt>
                <c:pt idx="1456">
                  <c:v>430</c:v>
                </c:pt>
                <c:pt idx="1457">
                  <c:v>430</c:v>
                </c:pt>
                <c:pt idx="1458">
                  <c:v>431</c:v>
                </c:pt>
                <c:pt idx="1459">
                  <c:v>431</c:v>
                </c:pt>
                <c:pt idx="1460">
                  <c:v>432</c:v>
                </c:pt>
                <c:pt idx="1461">
                  <c:v>432</c:v>
                </c:pt>
                <c:pt idx="1462">
                  <c:v>433</c:v>
                </c:pt>
                <c:pt idx="1463">
                  <c:v>439</c:v>
                </c:pt>
                <c:pt idx="1464">
                  <c:v>435</c:v>
                </c:pt>
                <c:pt idx="1465">
                  <c:v>435</c:v>
                </c:pt>
                <c:pt idx="1466">
                  <c:v>437</c:v>
                </c:pt>
                <c:pt idx="1467">
                  <c:v>438</c:v>
                </c:pt>
                <c:pt idx="1468">
                  <c:v>439</c:v>
                </c:pt>
                <c:pt idx="1469">
                  <c:v>439</c:v>
                </c:pt>
                <c:pt idx="1470">
                  <c:v>441</c:v>
                </c:pt>
                <c:pt idx="1471">
                  <c:v>442</c:v>
                </c:pt>
                <c:pt idx="1472">
                  <c:v>444</c:v>
                </c:pt>
                <c:pt idx="1473">
                  <c:v>456</c:v>
                </c:pt>
                <c:pt idx="1474">
                  <c:v>443</c:v>
                </c:pt>
                <c:pt idx="1475">
                  <c:v>444</c:v>
                </c:pt>
                <c:pt idx="1476">
                  <c:v>444</c:v>
                </c:pt>
                <c:pt idx="1477">
                  <c:v>445</c:v>
                </c:pt>
                <c:pt idx="1478">
                  <c:v>446</c:v>
                </c:pt>
                <c:pt idx="1479">
                  <c:v>446</c:v>
                </c:pt>
                <c:pt idx="1480">
                  <c:v>447</c:v>
                </c:pt>
                <c:pt idx="1481">
                  <c:v>447</c:v>
                </c:pt>
                <c:pt idx="1482">
                  <c:v>454</c:v>
                </c:pt>
                <c:pt idx="1483">
                  <c:v>454</c:v>
                </c:pt>
                <c:pt idx="1484">
                  <c:v>449</c:v>
                </c:pt>
                <c:pt idx="1485">
                  <c:v>451</c:v>
                </c:pt>
                <c:pt idx="1486">
                  <c:v>452</c:v>
                </c:pt>
                <c:pt idx="1487">
                  <c:v>452</c:v>
                </c:pt>
                <c:pt idx="1488">
                  <c:v>455</c:v>
                </c:pt>
                <c:pt idx="1489">
                  <c:v>456</c:v>
                </c:pt>
                <c:pt idx="1490">
                  <c:v>455</c:v>
                </c:pt>
                <c:pt idx="1491">
                  <c:v>457</c:v>
                </c:pt>
                <c:pt idx="1492">
                  <c:v>458</c:v>
                </c:pt>
                <c:pt idx="1493">
                  <c:v>458</c:v>
                </c:pt>
                <c:pt idx="1494">
                  <c:v>460</c:v>
                </c:pt>
                <c:pt idx="1495">
                  <c:v>461</c:v>
                </c:pt>
                <c:pt idx="1496">
                  <c:v>462</c:v>
                </c:pt>
                <c:pt idx="1497">
                  <c:v>462</c:v>
                </c:pt>
                <c:pt idx="1498">
                  <c:v>462</c:v>
                </c:pt>
                <c:pt idx="1499">
                  <c:v>463</c:v>
                </c:pt>
                <c:pt idx="1500">
                  <c:v>470</c:v>
                </c:pt>
                <c:pt idx="1501">
                  <c:v>464</c:v>
                </c:pt>
                <c:pt idx="1502">
                  <c:v>465</c:v>
                </c:pt>
                <c:pt idx="1503">
                  <c:v>476</c:v>
                </c:pt>
                <c:pt idx="1504">
                  <c:v>468</c:v>
                </c:pt>
                <c:pt idx="1505">
                  <c:v>469</c:v>
                </c:pt>
                <c:pt idx="1506">
                  <c:v>472</c:v>
                </c:pt>
                <c:pt idx="1507">
                  <c:v>473</c:v>
                </c:pt>
                <c:pt idx="1508">
                  <c:v>471</c:v>
                </c:pt>
                <c:pt idx="1509">
                  <c:v>472</c:v>
                </c:pt>
                <c:pt idx="1510">
                  <c:v>473</c:v>
                </c:pt>
                <c:pt idx="1511">
                  <c:v>474</c:v>
                </c:pt>
                <c:pt idx="1512">
                  <c:v>474</c:v>
                </c:pt>
                <c:pt idx="1513">
                  <c:v>477</c:v>
                </c:pt>
                <c:pt idx="1514">
                  <c:v>476</c:v>
                </c:pt>
                <c:pt idx="1515">
                  <c:v>475</c:v>
                </c:pt>
                <c:pt idx="1516">
                  <c:v>475</c:v>
                </c:pt>
                <c:pt idx="1517">
                  <c:v>490</c:v>
                </c:pt>
                <c:pt idx="1518">
                  <c:v>477</c:v>
                </c:pt>
                <c:pt idx="1519">
                  <c:v>478</c:v>
                </c:pt>
                <c:pt idx="1520">
                  <c:v>478</c:v>
                </c:pt>
                <c:pt idx="1521">
                  <c:v>478</c:v>
                </c:pt>
                <c:pt idx="1522">
                  <c:v>497</c:v>
                </c:pt>
                <c:pt idx="1523">
                  <c:v>487</c:v>
                </c:pt>
                <c:pt idx="1524">
                  <c:v>483</c:v>
                </c:pt>
                <c:pt idx="1525">
                  <c:v>484</c:v>
                </c:pt>
                <c:pt idx="1526">
                  <c:v>489</c:v>
                </c:pt>
                <c:pt idx="1527">
                  <c:v>485</c:v>
                </c:pt>
                <c:pt idx="1528">
                  <c:v>486</c:v>
                </c:pt>
                <c:pt idx="1529">
                  <c:v>486</c:v>
                </c:pt>
                <c:pt idx="1530">
                  <c:v>487</c:v>
                </c:pt>
                <c:pt idx="1531">
                  <c:v>487</c:v>
                </c:pt>
                <c:pt idx="1532">
                  <c:v>489</c:v>
                </c:pt>
                <c:pt idx="1533">
                  <c:v>490</c:v>
                </c:pt>
                <c:pt idx="1534">
                  <c:v>493</c:v>
                </c:pt>
                <c:pt idx="1535">
                  <c:v>491</c:v>
                </c:pt>
                <c:pt idx="1536">
                  <c:v>494</c:v>
                </c:pt>
                <c:pt idx="1537">
                  <c:v>499</c:v>
                </c:pt>
                <c:pt idx="1538">
                  <c:v>495</c:v>
                </c:pt>
                <c:pt idx="1539">
                  <c:v>496</c:v>
                </c:pt>
                <c:pt idx="1540">
                  <c:v>495</c:v>
                </c:pt>
                <c:pt idx="1541">
                  <c:v>496</c:v>
                </c:pt>
                <c:pt idx="1542">
                  <c:v>497</c:v>
                </c:pt>
                <c:pt idx="1543">
                  <c:v>497</c:v>
                </c:pt>
                <c:pt idx="1544">
                  <c:v>500</c:v>
                </c:pt>
                <c:pt idx="1545">
                  <c:v>500</c:v>
                </c:pt>
                <c:pt idx="1546">
                  <c:v>500</c:v>
                </c:pt>
                <c:pt idx="1547">
                  <c:v>505</c:v>
                </c:pt>
                <c:pt idx="1548">
                  <c:v>504</c:v>
                </c:pt>
                <c:pt idx="1549">
                  <c:v>505</c:v>
                </c:pt>
                <c:pt idx="1550">
                  <c:v>503</c:v>
                </c:pt>
                <c:pt idx="1551">
                  <c:v>504</c:v>
                </c:pt>
                <c:pt idx="1552">
                  <c:v>504</c:v>
                </c:pt>
                <c:pt idx="1553">
                  <c:v>505</c:v>
                </c:pt>
                <c:pt idx="1554">
                  <c:v>506</c:v>
                </c:pt>
                <c:pt idx="1555">
                  <c:v>508</c:v>
                </c:pt>
                <c:pt idx="1556">
                  <c:v>507</c:v>
                </c:pt>
                <c:pt idx="1557">
                  <c:v>509</c:v>
                </c:pt>
                <c:pt idx="1558">
                  <c:v>511</c:v>
                </c:pt>
                <c:pt idx="1559">
                  <c:v>511</c:v>
                </c:pt>
                <c:pt idx="1560">
                  <c:v>512</c:v>
                </c:pt>
                <c:pt idx="1561">
                  <c:v>514</c:v>
                </c:pt>
                <c:pt idx="1562">
                  <c:v>517</c:v>
                </c:pt>
                <c:pt idx="1563">
                  <c:v>516</c:v>
                </c:pt>
                <c:pt idx="1564">
                  <c:v>518</c:v>
                </c:pt>
                <c:pt idx="1565">
                  <c:v>516</c:v>
                </c:pt>
                <c:pt idx="1566">
                  <c:v>517</c:v>
                </c:pt>
                <c:pt idx="1567">
                  <c:v>530</c:v>
                </c:pt>
                <c:pt idx="1568">
                  <c:v>520</c:v>
                </c:pt>
                <c:pt idx="1569">
                  <c:v>531</c:v>
                </c:pt>
                <c:pt idx="1570">
                  <c:v>520</c:v>
                </c:pt>
                <c:pt idx="1571">
                  <c:v>520</c:v>
                </c:pt>
                <c:pt idx="1572">
                  <c:v>520</c:v>
                </c:pt>
                <c:pt idx="1573">
                  <c:v>529</c:v>
                </c:pt>
                <c:pt idx="1574">
                  <c:v>522</c:v>
                </c:pt>
                <c:pt idx="1575">
                  <c:v>523</c:v>
                </c:pt>
                <c:pt idx="1576">
                  <c:v>532</c:v>
                </c:pt>
                <c:pt idx="1577">
                  <c:v>530</c:v>
                </c:pt>
                <c:pt idx="1578">
                  <c:v>531</c:v>
                </c:pt>
                <c:pt idx="1579">
                  <c:v>538</c:v>
                </c:pt>
                <c:pt idx="1580">
                  <c:v>542</c:v>
                </c:pt>
                <c:pt idx="1581">
                  <c:v>537</c:v>
                </c:pt>
                <c:pt idx="1582">
                  <c:v>538</c:v>
                </c:pt>
                <c:pt idx="1583">
                  <c:v>539</c:v>
                </c:pt>
                <c:pt idx="1584">
                  <c:v>539</c:v>
                </c:pt>
                <c:pt idx="1585">
                  <c:v>541</c:v>
                </c:pt>
                <c:pt idx="1586">
                  <c:v>542</c:v>
                </c:pt>
                <c:pt idx="1587">
                  <c:v>547</c:v>
                </c:pt>
                <c:pt idx="1588">
                  <c:v>544</c:v>
                </c:pt>
                <c:pt idx="1589">
                  <c:v>544</c:v>
                </c:pt>
                <c:pt idx="1590">
                  <c:v>545</c:v>
                </c:pt>
                <c:pt idx="1591">
                  <c:v>546</c:v>
                </c:pt>
                <c:pt idx="1592">
                  <c:v>553</c:v>
                </c:pt>
                <c:pt idx="1593">
                  <c:v>549</c:v>
                </c:pt>
                <c:pt idx="1594">
                  <c:v>549</c:v>
                </c:pt>
                <c:pt idx="1595">
                  <c:v>550</c:v>
                </c:pt>
                <c:pt idx="1596">
                  <c:v>550</c:v>
                </c:pt>
                <c:pt idx="1597">
                  <c:v>551</c:v>
                </c:pt>
                <c:pt idx="1598">
                  <c:v>554</c:v>
                </c:pt>
                <c:pt idx="1599">
                  <c:v>551</c:v>
                </c:pt>
                <c:pt idx="1600">
                  <c:v>553</c:v>
                </c:pt>
                <c:pt idx="1601">
                  <c:v>554</c:v>
                </c:pt>
                <c:pt idx="1602">
                  <c:v>561</c:v>
                </c:pt>
                <c:pt idx="1603">
                  <c:v>557</c:v>
                </c:pt>
                <c:pt idx="1604">
                  <c:v>559</c:v>
                </c:pt>
                <c:pt idx="1605">
                  <c:v>557</c:v>
                </c:pt>
                <c:pt idx="1606">
                  <c:v>560</c:v>
                </c:pt>
                <c:pt idx="1607">
                  <c:v>560</c:v>
                </c:pt>
                <c:pt idx="1608">
                  <c:v>563</c:v>
                </c:pt>
                <c:pt idx="1609">
                  <c:v>563</c:v>
                </c:pt>
                <c:pt idx="1610">
                  <c:v>564</c:v>
                </c:pt>
                <c:pt idx="1611">
                  <c:v>578</c:v>
                </c:pt>
                <c:pt idx="1612">
                  <c:v>566</c:v>
                </c:pt>
                <c:pt idx="1613">
                  <c:v>568</c:v>
                </c:pt>
                <c:pt idx="1614">
                  <c:v>568</c:v>
                </c:pt>
                <c:pt idx="1615">
                  <c:v>569</c:v>
                </c:pt>
                <c:pt idx="1616">
                  <c:v>574</c:v>
                </c:pt>
                <c:pt idx="1617">
                  <c:v>577</c:v>
                </c:pt>
                <c:pt idx="1618">
                  <c:v>579</c:v>
                </c:pt>
                <c:pt idx="1619">
                  <c:v>580</c:v>
                </c:pt>
                <c:pt idx="1620">
                  <c:v>583</c:v>
                </c:pt>
                <c:pt idx="1621">
                  <c:v>581</c:v>
                </c:pt>
                <c:pt idx="1622">
                  <c:v>583</c:v>
                </c:pt>
                <c:pt idx="1623">
                  <c:v>584</c:v>
                </c:pt>
                <c:pt idx="1624">
                  <c:v>584</c:v>
                </c:pt>
                <c:pt idx="1625">
                  <c:v>584</c:v>
                </c:pt>
                <c:pt idx="1626">
                  <c:v>585</c:v>
                </c:pt>
                <c:pt idx="1627">
                  <c:v>593</c:v>
                </c:pt>
                <c:pt idx="1628">
                  <c:v>594</c:v>
                </c:pt>
                <c:pt idx="1629">
                  <c:v>592</c:v>
                </c:pt>
                <c:pt idx="1630">
                  <c:v>595</c:v>
                </c:pt>
                <c:pt idx="1631">
                  <c:v>594</c:v>
                </c:pt>
                <c:pt idx="1632">
                  <c:v>596</c:v>
                </c:pt>
                <c:pt idx="1633">
                  <c:v>604</c:v>
                </c:pt>
                <c:pt idx="1634">
                  <c:v>599</c:v>
                </c:pt>
                <c:pt idx="1635">
                  <c:v>604</c:v>
                </c:pt>
                <c:pt idx="1636">
                  <c:v>621</c:v>
                </c:pt>
                <c:pt idx="1637">
                  <c:v>603</c:v>
                </c:pt>
                <c:pt idx="1638">
                  <c:v>613</c:v>
                </c:pt>
                <c:pt idx="1639">
                  <c:v>607</c:v>
                </c:pt>
                <c:pt idx="1640">
                  <c:v>626</c:v>
                </c:pt>
                <c:pt idx="1641">
                  <c:v>611</c:v>
                </c:pt>
                <c:pt idx="1642">
                  <c:v>611</c:v>
                </c:pt>
                <c:pt idx="1643">
                  <c:v>614</c:v>
                </c:pt>
                <c:pt idx="1644">
                  <c:v>624</c:v>
                </c:pt>
                <c:pt idx="1645">
                  <c:v>616</c:v>
                </c:pt>
                <c:pt idx="1646">
                  <c:v>619</c:v>
                </c:pt>
                <c:pt idx="1647">
                  <c:v>617</c:v>
                </c:pt>
                <c:pt idx="1648">
                  <c:v>619</c:v>
                </c:pt>
                <c:pt idx="1649">
                  <c:v>621</c:v>
                </c:pt>
                <c:pt idx="1650">
                  <c:v>622</c:v>
                </c:pt>
                <c:pt idx="1651">
                  <c:v>633</c:v>
                </c:pt>
                <c:pt idx="1652">
                  <c:v>629</c:v>
                </c:pt>
                <c:pt idx="1653">
                  <c:v>628</c:v>
                </c:pt>
                <c:pt idx="1654">
                  <c:v>630</c:v>
                </c:pt>
                <c:pt idx="1655">
                  <c:v>630</c:v>
                </c:pt>
                <c:pt idx="1656">
                  <c:v>630</c:v>
                </c:pt>
                <c:pt idx="1657">
                  <c:v>631</c:v>
                </c:pt>
                <c:pt idx="1658">
                  <c:v>634</c:v>
                </c:pt>
                <c:pt idx="1659">
                  <c:v>635</c:v>
                </c:pt>
                <c:pt idx="1660">
                  <c:v>637</c:v>
                </c:pt>
                <c:pt idx="1661">
                  <c:v>636</c:v>
                </c:pt>
                <c:pt idx="1662">
                  <c:v>644</c:v>
                </c:pt>
                <c:pt idx="1663">
                  <c:v>641</c:v>
                </c:pt>
                <c:pt idx="1664">
                  <c:v>658</c:v>
                </c:pt>
                <c:pt idx="1665">
                  <c:v>643</c:v>
                </c:pt>
                <c:pt idx="1666">
                  <c:v>642</c:v>
                </c:pt>
                <c:pt idx="1667">
                  <c:v>673</c:v>
                </c:pt>
                <c:pt idx="1668">
                  <c:v>645</c:v>
                </c:pt>
                <c:pt idx="1669">
                  <c:v>650</c:v>
                </c:pt>
                <c:pt idx="1670">
                  <c:v>655</c:v>
                </c:pt>
                <c:pt idx="1671">
                  <c:v>658</c:v>
                </c:pt>
                <c:pt idx="1672">
                  <c:v>660</c:v>
                </c:pt>
                <c:pt idx="1673">
                  <c:v>662</c:v>
                </c:pt>
                <c:pt idx="1674">
                  <c:v>660</c:v>
                </c:pt>
                <c:pt idx="1675">
                  <c:v>662</c:v>
                </c:pt>
                <c:pt idx="1676">
                  <c:v>667</c:v>
                </c:pt>
                <c:pt idx="1677">
                  <c:v>668</c:v>
                </c:pt>
                <c:pt idx="1678">
                  <c:v>668</c:v>
                </c:pt>
                <c:pt idx="1679">
                  <c:v>676</c:v>
                </c:pt>
                <c:pt idx="1680">
                  <c:v>686</c:v>
                </c:pt>
                <c:pt idx="1681">
                  <c:v>682</c:v>
                </c:pt>
                <c:pt idx="1682">
                  <c:v>682</c:v>
                </c:pt>
                <c:pt idx="1683">
                  <c:v>686</c:v>
                </c:pt>
                <c:pt idx="1684">
                  <c:v>687</c:v>
                </c:pt>
                <c:pt idx="1685">
                  <c:v>687</c:v>
                </c:pt>
                <c:pt idx="1686">
                  <c:v>690</c:v>
                </c:pt>
                <c:pt idx="1687">
                  <c:v>698</c:v>
                </c:pt>
                <c:pt idx="1688">
                  <c:v>704</c:v>
                </c:pt>
                <c:pt idx="1689">
                  <c:v>704</c:v>
                </c:pt>
                <c:pt idx="1690">
                  <c:v>723</c:v>
                </c:pt>
                <c:pt idx="1691">
                  <c:v>709</c:v>
                </c:pt>
                <c:pt idx="1692">
                  <c:v>711</c:v>
                </c:pt>
                <c:pt idx="1693">
                  <c:v>712</c:v>
                </c:pt>
                <c:pt idx="1694">
                  <c:v>714</c:v>
                </c:pt>
                <c:pt idx="1695">
                  <c:v>724</c:v>
                </c:pt>
                <c:pt idx="1696">
                  <c:v>725</c:v>
                </c:pt>
                <c:pt idx="1697">
                  <c:v>734</c:v>
                </c:pt>
                <c:pt idx="1698">
                  <c:v>748</c:v>
                </c:pt>
                <c:pt idx="1699">
                  <c:v>745</c:v>
                </c:pt>
                <c:pt idx="1700">
                  <c:v>760</c:v>
                </c:pt>
                <c:pt idx="1701">
                  <c:v>755</c:v>
                </c:pt>
                <c:pt idx="1702">
                  <c:v>755</c:v>
                </c:pt>
                <c:pt idx="1703">
                  <c:v>771</c:v>
                </c:pt>
                <c:pt idx="1704">
                  <c:v>765</c:v>
                </c:pt>
                <c:pt idx="1705">
                  <c:v>774</c:v>
                </c:pt>
                <c:pt idx="1706">
                  <c:v>790</c:v>
                </c:pt>
                <c:pt idx="1707">
                  <c:v>771</c:v>
                </c:pt>
                <c:pt idx="1708">
                  <c:v>779</c:v>
                </c:pt>
                <c:pt idx="1709">
                  <c:v>794</c:v>
                </c:pt>
                <c:pt idx="1710">
                  <c:v>790</c:v>
                </c:pt>
                <c:pt idx="1711">
                  <c:v>805</c:v>
                </c:pt>
                <c:pt idx="1712">
                  <c:v>823</c:v>
                </c:pt>
                <c:pt idx="1713">
                  <c:v>841</c:v>
                </c:pt>
                <c:pt idx="1714">
                  <c:v>879</c:v>
                </c:pt>
                <c:pt idx="1715">
                  <c:v>915</c:v>
                </c:pt>
                <c:pt idx="1716">
                  <c:v>985</c:v>
                </c:pt>
                <c:pt idx="1717">
                  <c:v>1036</c:v>
                </c:pt>
                <c:pt idx="1718">
                  <c:v>1015</c:v>
                </c:pt>
                <c:pt idx="1719">
                  <c:v>1033</c:v>
                </c:pt>
                <c:pt idx="1720">
                  <c:v>1058</c:v>
                </c:pt>
                <c:pt idx="1721">
                  <c:v>1161</c:v>
                </c:pt>
              </c:numCache>
            </c:numRef>
          </c:xVal>
          <c:yVal>
            <c:numRef>
              <c:f>Analysis!$CK$100:$CK$1821</c:f>
              <c:numCache>
                <c:formatCode>_("$"* #,##0_);_("$"* \(#,##0\);_("$"* "-"??_);_(@_)</c:formatCode>
                <c:ptCount val="1722"/>
                <c:pt idx="0">
                  <c:v>41568.5</c:v>
                </c:pt>
                <c:pt idx="1">
                  <c:v>46488.5</c:v>
                </c:pt>
                <c:pt idx="2">
                  <c:v>36484</c:v>
                </c:pt>
                <c:pt idx="3">
                  <c:v>27886.714285714337</c:v>
                </c:pt>
                <c:pt idx="4">
                  <c:v>26117</c:v>
                </c:pt>
                <c:pt idx="5">
                  <c:v>27547.428571428562</c:v>
                </c:pt>
                <c:pt idx="6">
                  <c:v>28797.571428571417</c:v>
                </c:pt>
                <c:pt idx="7">
                  <c:v>24592.625</c:v>
                </c:pt>
                <c:pt idx="8">
                  <c:v>28501</c:v>
                </c:pt>
                <c:pt idx="9">
                  <c:v>27077.5</c:v>
                </c:pt>
                <c:pt idx="10">
                  <c:v>26203.444444444493</c:v>
                </c:pt>
                <c:pt idx="11">
                  <c:v>18410.400000000001</c:v>
                </c:pt>
                <c:pt idx="12">
                  <c:v>23836.600000000002</c:v>
                </c:pt>
                <c:pt idx="13">
                  <c:v>18254.599999999955</c:v>
                </c:pt>
                <c:pt idx="14">
                  <c:v>21627.599999999955</c:v>
                </c:pt>
                <c:pt idx="15">
                  <c:v>22551</c:v>
                </c:pt>
                <c:pt idx="16">
                  <c:v>21225.599999999955</c:v>
                </c:pt>
                <c:pt idx="17">
                  <c:v>22258.200000000004</c:v>
                </c:pt>
                <c:pt idx="18">
                  <c:v>21556.454545454544</c:v>
                </c:pt>
                <c:pt idx="19">
                  <c:v>18033.727272727279</c:v>
                </c:pt>
                <c:pt idx="20">
                  <c:v>14666.818181818184</c:v>
                </c:pt>
                <c:pt idx="21">
                  <c:v>18605.54545454546</c:v>
                </c:pt>
                <c:pt idx="22">
                  <c:v>17828.090909090897</c:v>
                </c:pt>
                <c:pt idx="23">
                  <c:v>19213.272727272717</c:v>
                </c:pt>
                <c:pt idx="24">
                  <c:v>22530.727272727279</c:v>
                </c:pt>
                <c:pt idx="25">
                  <c:v>22626.36363636364</c:v>
                </c:pt>
                <c:pt idx="26">
                  <c:v>20511.18181818182</c:v>
                </c:pt>
                <c:pt idx="27">
                  <c:v>14647.499999999975</c:v>
                </c:pt>
                <c:pt idx="28">
                  <c:v>16279.5</c:v>
                </c:pt>
                <c:pt idx="29">
                  <c:v>20934.5</c:v>
                </c:pt>
                <c:pt idx="30">
                  <c:v>14131.846153846151</c:v>
                </c:pt>
                <c:pt idx="31">
                  <c:v>14862.615384615385</c:v>
                </c:pt>
                <c:pt idx="32">
                  <c:v>14230.23076923079</c:v>
                </c:pt>
                <c:pt idx="33">
                  <c:v>15381.153846153858</c:v>
                </c:pt>
                <c:pt idx="34">
                  <c:v>15901</c:v>
                </c:pt>
                <c:pt idx="35">
                  <c:v>17295.384615384621</c:v>
                </c:pt>
                <c:pt idx="36">
                  <c:v>14323.357142857141</c:v>
                </c:pt>
                <c:pt idx="37">
                  <c:v>14977.71428571431</c:v>
                </c:pt>
                <c:pt idx="38">
                  <c:v>16868.5</c:v>
                </c:pt>
                <c:pt idx="39">
                  <c:v>18733.5</c:v>
                </c:pt>
                <c:pt idx="40">
                  <c:v>14595.866666666641</c:v>
                </c:pt>
                <c:pt idx="41">
                  <c:v>15982.866666666641</c:v>
                </c:pt>
                <c:pt idx="42">
                  <c:v>12503.466666666642</c:v>
                </c:pt>
                <c:pt idx="43">
                  <c:v>25810.266666666666</c:v>
                </c:pt>
                <c:pt idx="44">
                  <c:v>15910.0625</c:v>
                </c:pt>
                <c:pt idx="45">
                  <c:v>12370.8125</c:v>
                </c:pt>
                <c:pt idx="46">
                  <c:v>12879.874999999978</c:v>
                </c:pt>
                <c:pt idx="47">
                  <c:v>14895.75</c:v>
                </c:pt>
                <c:pt idx="48">
                  <c:v>12356.625</c:v>
                </c:pt>
                <c:pt idx="49">
                  <c:v>12301.25</c:v>
                </c:pt>
                <c:pt idx="50">
                  <c:v>14017.8125</c:v>
                </c:pt>
                <c:pt idx="51">
                  <c:v>13044.374999999978</c:v>
                </c:pt>
                <c:pt idx="52">
                  <c:v>16204.6875</c:v>
                </c:pt>
                <c:pt idx="53">
                  <c:v>18003.812499999996</c:v>
                </c:pt>
                <c:pt idx="54">
                  <c:v>15341</c:v>
                </c:pt>
                <c:pt idx="55">
                  <c:v>19029.312499999996</c:v>
                </c:pt>
                <c:pt idx="56">
                  <c:v>21136.6875</c:v>
                </c:pt>
                <c:pt idx="57">
                  <c:v>20969.375</c:v>
                </c:pt>
                <c:pt idx="58">
                  <c:v>11052.647058823552</c:v>
                </c:pt>
                <c:pt idx="59">
                  <c:v>12578.882352941175</c:v>
                </c:pt>
                <c:pt idx="60">
                  <c:v>18092.705882352984</c:v>
                </c:pt>
                <c:pt idx="61">
                  <c:v>14420.277777777779</c:v>
                </c:pt>
                <c:pt idx="62">
                  <c:v>15862.833333333327</c:v>
                </c:pt>
                <c:pt idx="63">
                  <c:v>18740.052631578896</c:v>
                </c:pt>
                <c:pt idx="64">
                  <c:v>11583.157894736842</c:v>
                </c:pt>
                <c:pt idx="65">
                  <c:v>13210.684210526333</c:v>
                </c:pt>
                <c:pt idx="66">
                  <c:v>13825.684210526337</c:v>
                </c:pt>
                <c:pt idx="67">
                  <c:v>12695.526315789461</c:v>
                </c:pt>
                <c:pt idx="68">
                  <c:v>13241.473684210527</c:v>
                </c:pt>
                <c:pt idx="69">
                  <c:v>13728</c:v>
                </c:pt>
                <c:pt idx="70">
                  <c:v>8751.9499999999753</c:v>
                </c:pt>
                <c:pt idx="71">
                  <c:v>13563</c:v>
                </c:pt>
                <c:pt idx="72">
                  <c:v>12205.050000000001</c:v>
                </c:pt>
                <c:pt idx="73">
                  <c:v>12399.1</c:v>
                </c:pt>
                <c:pt idx="74">
                  <c:v>15779.4</c:v>
                </c:pt>
                <c:pt idx="75">
                  <c:v>13765.952380952382</c:v>
                </c:pt>
                <c:pt idx="76">
                  <c:v>11929.619047619068</c:v>
                </c:pt>
                <c:pt idx="77">
                  <c:v>11156.857142857143</c:v>
                </c:pt>
                <c:pt idx="78">
                  <c:v>13397.714285714306</c:v>
                </c:pt>
                <c:pt idx="79">
                  <c:v>19489.809523809468</c:v>
                </c:pt>
                <c:pt idx="80">
                  <c:v>13688.476190476167</c:v>
                </c:pt>
                <c:pt idx="81">
                  <c:v>16352.047619047598</c:v>
                </c:pt>
                <c:pt idx="82">
                  <c:v>18154.809523809468</c:v>
                </c:pt>
                <c:pt idx="83">
                  <c:v>9216.3181818181802</c:v>
                </c:pt>
                <c:pt idx="84">
                  <c:v>10777.863636363611</c:v>
                </c:pt>
                <c:pt idx="85">
                  <c:v>15495.136363636364</c:v>
                </c:pt>
                <c:pt idx="86">
                  <c:v>15686.318181818182</c:v>
                </c:pt>
                <c:pt idx="87">
                  <c:v>13648.409090909085</c:v>
                </c:pt>
                <c:pt idx="88">
                  <c:v>18061.454545454548</c:v>
                </c:pt>
                <c:pt idx="89">
                  <c:v>12982.565217391304</c:v>
                </c:pt>
                <c:pt idx="90">
                  <c:v>14261.65217391302</c:v>
                </c:pt>
                <c:pt idx="91">
                  <c:v>13932.565217391304</c:v>
                </c:pt>
                <c:pt idx="92">
                  <c:v>15615.565217391306</c:v>
                </c:pt>
                <c:pt idx="93">
                  <c:v>11710.739130434784</c:v>
                </c:pt>
                <c:pt idx="94">
                  <c:v>14070.13043478261</c:v>
                </c:pt>
                <c:pt idx="95">
                  <c:v>12789.208333333327</c:v>
                </c:pt>
                <c:pt idx="96">
                  <c:v>11662.250000000002</c:v>
                </c:pt>
                <c:pt idx="97">
                  <c:v>11259.166666666661</c:v>
                </c:pt>
                <c:pt idx="98">
                  <c:v>11402.541666666668</c:v>
                </c:pt>
                <c:pt idx="99">
                  <c:v>11685.75</c:v>
                </c:pt>
                <c:pt idx="100">
                  <c:v>13965.708333333327</c:v>
                </c:pt>
                <c:pt idx="101">
                  <c:v>16569.416666666657</c:v>
                </c:pt>
                <c:pt idx="102">
                  <c:v>18514.458333333332</c:v>
                </c:pt>
                <c:pt idx="103">
                  <c:v>11628.96</c:v>
                </c:pt>
                <c:pt idx="104">
                  <c:v>12960.48</c:v>
                </c:pt>
                <c:pt idx="105">
                  <c:v>14529.720000000008</c:v>
                </c:pt>
                <c:pt idx="106">
                  <c:v>14103.76</c:v>
                </c:pt>
                <c:pt idx="107">
                  <c:v>17045.88</c:v>
                </c:pt>
                <c:pt idx="108">
                  <c:v>12339.576923076902</c:v>
                </c:pt>
                <c:pt idx="109">
                  <c:v>13761.73076923079</c:v>
                </c:pt>
                <c:pt idx="110">
                  <c:v>13268.884615384603</c:v>
                </c:pt>
                <c:pt idx="111">
                  <c:v>12485.423076923073</c:v>
                </c:pt>
                <c:pt idx="112">
                  <c:v>11872.19230769231</c:v>
                </c:pt>
                <c:pt idx="113">
                  <c:v>12265.846153846151</c:v>
                </c:pt>
                <c:pt idx="114">
                  <c:v>11580</c:v>
                </c:pt>
                <c:pt idx="115">
                  <c:v>11640.19230769231</c:v>
                </c:pt>
                <c:pt idx="116">
                  <c:v>11224.307692307681</c:v>
                </c:pt>
                <c:pt idx="117">
                  <c:v>12339.461538461523</c:v>
                </c:pt>
                <c:pt idx="118">
                  <c:v>13210.615384615385</c:v>
                </c:pt>
                <c:pt idx="119">
                  <c:v>14251.807692307681</c:v>
                </c:pt>
                <c:pt idx="120">
                  <c:v>13668.444444444454</c:v>
                </c:pt>
                <c:pt idx="121">
                  <c:v>9925.370370370365</c:v>
                </c:pt>
                <c:pt idx="122">
                  <c:v>12117.629629629608</c:v>
                </c:pt>
                <c:pt idx="123">
                  <c:v>14377.370370370369</c:v>
                </c:pt>
                <c:pt idx="124">
                  <c:v>13883.925925925903</c:v>
                </c:pt>
                <c:pt idx="125">
                  <c:v>10923.428571428571</c:v>
                </c:pt>
                <c:pt idx="126">
                  <c:v>12406.428571428571</c:v>
                </c:pt>
                <c:pt idx="127">
                  <c:v>11358.60714285715</c:v>
                </c:pt>
                <c:pt idx="128">
                  <c:v>14046.60714285715</c:v>
                </c:pt>
                <c:pt idx="129">
                  <c:v>11251.142857142901</c:v>
                </c:pt>
                <c:pt idx="130">
                  <c:v>11306.178571428571</c:v>
                </c:pt>
                <c:pt idx="131">
                  <c:v>12108.60714285715</c:v>
                </c:pt>
                <c:pt idx="132">
                  <c:v>15157.892857142879</c:v>
                </c:pt>
                <c:pt idx="133">
                  <c:v>9632.0344827586487</c:v>
                </c:pt>
                <c:pt idx="134">
                  <c:v>11573.827586206897</c:v>
                </c:pt>
                <c:pt idx="135">
                  <c:v>12218.241379310366</c:v>
                </c:pt>
                <c:pt idx="136">
                  <c:v>13951.137931034484</c:v>
                </c:pt>
                <c:pt idx="137">
                  <c:v>16766.275862068967</c:v>
                </c:pt>
                <c:pt idx="138">
                  <c:v>10591.666666666661</c:v>
                </c:pt>
                <c:pt idx="139">
                  <c:v>9185.833333333323</c:v>
                </c:pt>
                <c:pt idx="140">
                  <c:v>10679.266666666665</c:v>
                </c:pt>
                <c:pt idx="141">
                  <c:v>11553.633333333333</c:v>
                </c:pt>
                <c:pt idx="142">
                  <c:v>10267.633333333331</c:v>
                </c:pt>
                <c:pt idx="143">
                  <c:v>10514.533333333335</c:v>
                </c:pt>
                <c:pt idx="144">
                  <c:v>9925.1666666666442</c:v>
                </c:pt>
                <c:pt idx="145">
                  <c:v>10412</c:v>
                </c:pt>
                <c:pt idx="146">
                  <c:v>10423.200000000004</c:v>
                </c:pt>
                <c:pt idx="147">
                  <c:v>11226.2</c:v>
                </c:pt>
                <c:pt idx="148">
                  <c:v>12034.733333333334</c:v>
                </c:pt>
                <c:pt idx="149">
                  <c:v>14379.166666666661</c:v>
                </c:pt>
                <c:pt idx="150">
                  <c:v>9496.0000000000018</c:v>
                </c:pt>
                <c:pt idx="151">
                  <c:v>10145.225806451612</c:v>
                </c:pt>
                <c:pt idx="152">
                  <c:v>9702.2903225806458</c:v>
                </c:pt>
                <c:pt idx="153">
                  <c:v>9657.0322580645188</c:v>
                </c:pt>
                <c:pt idx="154">
                  <c:v>10383.903225806454</c:v>
                </c:pt>
                <c:pt idx="155">
                  <c:v>12738.58064516129</c:v>
                </c:pt>
                <c:pt idx="156">
                  <c:v>12228.870967741927</c:v>
                </c:pt>
                <c:pt idx="157">
                  <c:v>12434.093750000016</c:v>
                </c:pt>
                <c:pt idx="158">
                  <c:v>11613.5</c:v>
                </c:pt>
                <c:pt idx="159">
                  <c:v>10641.25</c:v>
                </c:pt>
                <c:pt idx="160">
                  <c:v>9916.0937500000109</c:v>
                </c:pt>
                <c:pt idx="161">
                  <c:v>11931.4375</c:v>
                </c:pt>
                <c:pt idx="162">
                  <c:v>10910.8125</c:v>
                </c:pt>
                <c:pt idx="163">
                  <c:v>10263.3125</c:v>
                </c:pt>
                <c:pt idx="164">
                  <c:v>15150.593750000016</c:v>
                </c:pt>
                <c:pt idx="165">
                  <c:v>12051.25</c:v>
                </c:pt>
                <c:pt idx="166">
                  <c:v>11913.15625</c:v>
                </c:pt>
                <c:pt idx="167">
                  <c:v>16240.1875</c:v>
                </c:pt>
                <c:pt idx="168">
                  <c:v>92820.21875</c:v>
                </c:pt>
                <c:pt idx="169">
                  <c:v>9526.7575757575651</c:v>
                </c:pt>
                <c:pt idx="170">
                  <c:v>10744.515151515152</c:v>
                </c:pt>
                <c:pt idx="171">
                  <c:v>8901.333333333323</c:v>
                </c:pt>
                <c:pt idx="172">
                  <c:v>9683.1212121212338</c:v>
                </c:pt>
                <c:pt idx="173">
                  <c:v>12427.545454545454</c:v>
                </c:pt>
                <c:pt idx="174">
                  <c:v>10043.515151515152</c:v>
                </c:pt>
                <c:pt idx="175">
                  <c:v>11139.060606060601</c:v>
                </c:pt>
                <c:pt idx="176">
                  <c:v>12687.030303030302</c:v>
                </c:pt>
                <c:pt idx="177">
                  <c:v>9989.3529411764721</c:v>
                </c:pt>
                <c:pt idx="178">
                  <c:v>11230.647058823552</c:v>
                </c:pt>
                <c:pt idx="179">
                  <c:v>9617.6764705882251</c:v>
                </c:pt>
                <c:pt idx="180">
                  <c:v>14634.764705882373</c:v>
                </c:pt>
                <c:pt idx="181">
                  <c:v>9596.1176470588289</c:v>
                </c:pt>
                <c:pt idx="182">
                  <c:v>10222.088235294103</c:v>
                </c:pt>
                <c:pt idx="183">
                  <c:v>10074.529411764706</c:v>
                </c:pt>
                <c:pt idx="184">
                  <c:v>9878.2058823529569</c:v>
                </c:pt>
                <c:pt idx="185">
                  <c:v>10224.058823529389</c:v>
                </c:pt>
                <c:pt idx="186">
                  <c:v>9454.3428571428794</c:v>
                </c:pt>
                <c:pt idx="187">
                  <c:v>9410.028571428571</c:v>
                </c:pt>
                <c:pt idx="188">
                  <c:v>9559.3714285714286</c:v>
                </c:pt>
                <c:pt idx="189">
                  <c:v>8795.9714285714308</c:v>
                </c:pt>
                <c:pt idx="190">
                  <c:v>8741.028571428571</c:v>
                </c:pt>
                <c:pt idx="191">
                  <c:v>10248.571428571438</c:v>
                </c:pt>
                <c:pt idx="192">
                  <c:v>11187.542857142895</c:v>
                </c:pt>
                <c:pt idx="193">
                  <c:v>9819.6285714285696</c:v>
                </c:pt>
                <c:pt idx="194">
                  <c:v>10837.114285714306</c:v>
                </c:pt>
                <c:pt idx="195">
                  <c:v>13090.4</c:v>
                </c:pt>
                <c:pt idx="196">
                  <c:v>9240.428571428567</c:v>
                </c:pt>
                <c:pt idx="197">
                  <c:v>10692.285714285705</c:v>
                </c:pt>
                <c:pt idx="198">
                  <c:v>11339.257142857146</c:v>
                </c:pt>
                <c:pt idx="199">
                  <c:v>13844.71428571431</c:v>
                </c:pt>
                <c:pt idx="200">
                  <c:v>12011.314285714288</c:v>
                </c:pt>
                <c:pt idx="201">
                  <c:v>14876.6</c:v>
                </c:pt>
                <c:pt idx="202">
                  <c:v>16649.88571428572</c:v>
                </c:pt>
                <c:pt idx="203">
                  <c:v>8495.4166666666442</c:v>
                </c:pt>
                <c:pt idx="204">
                  <c:v>8601.1111111111168</c:v>
                </c:pt>
                <c:pt idx="205">
                  <c:v>11432.944444444454</c:v>
                </c:pt>
                <c:pt idx="206">
                  <c:v>9692.833333333323</c:v>
                </c:pt>
                <c:pt idx="207">
                  <c:v>10129.888888888889</c:v>
                </c:pt>
                <c:pt idx="208">
                  <c:v>9306.7222222222408</c:v>
                </c:pt>
                <c:pt idx="209">
                  <c:v>9375.6111111111168</c:v>
                </c:pt>
                <c:pt idx="210">
                  <c:v>10348.055555555557</c:v>
                </c:pt>
                <c:pt idx="211">
                  <c:v>10472.305555555557</c:v>
                </c:pt>
                <c:pt idx="212">
                  <c:v>9512.3513513513499</c:v>
                </c:pt>
                <c:pt idx="213">
                  <c:v>8990.6216216216235</c:v>
                </c:pt>
                <c:pt idx="214">
                  <c:v>11813.91891891892</c:v>
                </c:pt>
                <c:pt idx="215">
                  <c:v>12449.540540540538</c:v>
                </c:pt>
                <c:pt idx="216">
                  <c:v>12420.135135135135</c:v>
                </c:pt>
                <c:pt idx="217">
                  <c:v>8690.9736842105231</c:v>
                </c:pt>
                <c:pt idx="218">
                  <c:v>9244.4473684210534</c:v>
                </c:pt>
                <c:pt idx="219">
                  <c:v>9559.0263157894497</c:v>
                </c:pt>
                <c:pt idx="220">
                  <c:v>11196.289473684203</c:v>
                </c:pt>
                <c:pt idx="221">
                  <c:v>11964.57894736842</c:v>
                </c:pt>
                <c:pt idx="222">
                  <c:v>9883.4473684210534</c:v>
                </c:pt>
                <c:pt idx="223">
                  <c:v>9202.205128205127</c:v>
                </c:pt>
                <c:pt idx="224">
                  <c:v>9743.5897435897423</c:v>
                </c:pt>
                <c:pt idx="225">
                  <c:v>9046.769230769225</c:v>
                </c:pt>
                <c:pt idx="226">
                  <c:v>9717.3846153845934</c:v>
                </c:pt>
                <c:pt idx="227">
                  <c:v>8803.2820512820526</c:v>
                </c:pt>
                <c:pt idx="228">
                  <c:v>9353.461538461519</c:v>
                </c:pt>
                <c:pt idx="229">
                  <c:v>9961.7948717948748</c:v>
                </c:pt>
                <c:pt idx="230">
                  <c:v>9334.0769230768983</c:v>
                </c:pt>
                <c:pt idx="231">
                  <c:v>26946.923076923074</c:v>
                </c:pt>
                <c:pt idx="232">
                  <c:v>9981.7000000000007</c:v>
                </c:pt>
                <c:pt idx="233">
                  <c:v>7252.4500000000007</c:v>
                </c:pt>
                <c:pt idx="234">
                  <c:v>8576.75</c:v>
                </c:pt>
                <c:pt idx="235">
                  <c:v>9569.1</c:v>
                </c:pt>
                <c:pt idx="236">
                  <c:v>10264.075000000001</c:v>
                </c:pt>
                <c:pt idx="237">
                  <c:v>12445.84999999998</c:v>
                </c:pt>
                <c:pt idx="238">
                  <c:v>14849.500000000002</c:v>
                </c:pt>
                <c:pt idx="239">
                  <c:v>10701.878048780487</c:v>
                </c:pt>
                <c:pt idx="240">
                  <c:v>10140.60975609757</c:v>
                </c:pt>
                <c:pt idx="241">
                  <c:v>11484.073170731706</c:v>
                </c:pt>
                <c:pt idx="242">
                  <c:v>9277.6190476190568</c:v>
                </c:pt>
                <c:pt idx="243">
                  <c:v>7585.1428571428569</c:v>
                </c:pt>
                <c:pt idx="244">
                  <c:v>10188.071428571438</c:v>
                </c:pt>
                <c:pt idx="245">
                  <c:v>8108.8604651162814</c:v>
                </c:pt>
                <c:pt idx="246">
                  <c:v>10211.488372093025</c:v>
                </c:pt>
                <c:pt idx="247">
                  <c:v>6623.395348837209</c:v>
                </c:pt>
                <c:pt idx="248">
                  <c:v>7462.5116279069834</c:v>
                </c:pt>
                <c:pt idx="249">
                  <c:v>7119.6511627907093</c:v>
                </c:pt>
                <c:pt idx="250">
                  <c:v>8825.4883720930211</c:v>
                </c:pt>
                <c:pt idx="251">
                  <c:v>8127.6976744186159</c:v>
                </c:pt>
                <c:pt idx="252">
                  <c:v>7679.75</c:v>
                </c:pt>
                <c:pt idx="253">
                  <c:v>10855.545454545454</c:v>
                </c:pt>
                <c:pt idx="254">
                  <c:v>12940.545454545454</c:v>
                </c:pt>
                <c:pt idx="255">
                  <c:v>8615.045454545454</c:v>
                </c:pt>
                <c:pt idx="256">
                  <c:v>9029.0227272727388</c:v>
                </c:pt>
                <c:pt idx="257">
                  <c:v>11697.068181818182</c:v>
                </c:pt>
                <c:pt idx="258">
                  <c:v>10621.909090909085</c:v>
                </c:pt>
                <c:pt idx="259">
                  <c:v>10840.454545454546</c:v>
                </c:pt>
                <c:pt idx="260">
                  <c:v>9987.933333333327</c:v>
                </c:pt>
                <c:pt idx="261">
                  <c:v>8866.8444444444449</c:v>
                </c:pt>
                <c:pt idx="262">
                  <c:v>8102.5111111111219</c:v>
                </c:pt>
                <c:pt idx="263">
                  <c:v>7862.0444444444438</c:v>
                </c:pt>
                <c:pt idx="264">
                  <c:v>9249.266666666661</c:v>
                </c:pt>
                <c:pt idx="265">
                  <c:v>10732.804347826108</c:v>
                </c:pt>
                <c:pt idx="266">
                  <c:v>10998.391304347821</c:v>
                </c:pt>
                <c:pt idx="267">
                  <c:v>12570.086956521733</c:v>
                </c:pt>
                <c:pt idx="268">
                  <c:v>6979.0652173913049</c:v>
                </c:pt>
                <c:pt idx="269">
                  <c:v>10069.369565217385</c:v>
                </c:pt>
                <c:pt idx="270">
                  <c:v>9005.065217391304</c:v>
                </c:pt>
                <c:pt idx="271">
                  <c:v>9943.8043478260988</c:v>
                </c:pt>
                <c:pt idx="272">
                  <c:v>8301.9574468085102</c:v>
                </c:pt>
                <c:pt idx="273">
                  <c:v>9040.0425531914989</c:v>
                </c:pt>
                <c:pt idx="274">
                  <c:v>9082.1914893617068</c:v>
                </c:pt>
                <c:pt idx="275">
                  <c:v>8527.1276595744694</c:v>
                </c:pt>
                <c:pt idx="276">
                  <c:v>9591.893617021271</c:v>
                </c:pt>
                <c:pt idx="277">
                  <c:v>9240.3404255319147</c:v>
                </c:pt>
                <c:pt idx="278">
                  <c:v>14359.659574468062</c:v>
                </c:pt>
                <c:pt idx="279">
                  <c:v>7940.5</c:v>
                </c:pt>
                <c:pt idx="280">
                  <c:v>8357.9791666666461</c:v>
                </c:pt>
                <c:pt idx="281">
                  <c:v>8342.333333333323</c:v>
                </c:pt>
                <c:pt idx="282">
                  <c:v>6814.3333333333285</c:v>
                </c:pt>
                <c:pt idx="283">
                  <c:v>9148.4791666666442</c:v>
                </c:pt>
                <c:pt idx="284">
                  <c:v>9843.2291666666661</c:v>
                </c:pt>
                <c:pt idx="285">
                  <c:v>12125.770833333327</c:v>
                </c:pt>
                <c:pt idx="286">
                  <c:v>7878.5714285714394</c:v>
                </c:pt>
                <c:pt idx="287">
                  <c:v>9368.0408163265329</c:v>
                </c:pt>
                <c:pt idx="288">
                  <c:v>10709.795918367347</c:v>
                </c:pt>
                <c:pt idx="289">
                  <c:v>10075.938775510214</c:v>
                </c:pt>
                <c:pt idx="290">
                  <c:v>9911.3469387755031</c:v>
                </c:pt>
                <c:pt idx="291">
                  <c:v>10783</c:v>
                </c:pt>
                <c:pt idx="292">
                  <c:v>13156.122448979633</c:v>
                </c:pt>
                <c:pt idx="293">
                  <c:v>11278</c:v>
                </c:pt>
                <c:pt idx="294">
                  <c:v>9840.34</c:v>
                </c:pt>
                <c:pt idx="295">
                  <c:v>8362.6</c:v>
                </c:pt>
                <c:pt idx="296">
                  <c:v>8111.7800000000007</c:v>
                </c:pt>
                <c:pt idx="297">
                  <c:v>8883.039999999979</c:v>
                </c:pt>
                <c:pt idx="298">
                  <c:v>8748.3599999999587</c:v>
                </c:pt>
                <c:pt idx="299">
                  <c:v>7865.0980392156944</c:v>
                </c:pt>
                <c:pt idx="300">
                  <c:v>8012.4509803921565</c:v>
                </c:pt>
                <c:pt idx="301">
                  <c:v>8396.1372549019688</c:v>
                </c:pt>
                <c:pt idx="302">
                  <c:v>9257.1764705882251</c:v>
                </c:pt>
                <c:pt idx="303">
                  <c:v>9485.6862745098042</c:v>
                </c:pt>
                <c:pt idx="304">
                  <c:v>8282.846153846147</c:v>
                </c:pt>
                <c:pt idx="305">
                  <c:v>10071.923076923073</c:v>
                </c:pt>
                <c:pt idx="306">
                  <c:v>7699.2115384615581</c:v>
                </c:pt>
                <c:pt idx="307">
                  <c:v>8569.6153846153811</c:v>
                </c:pt>
                <c:pt idx="308">
                  <c:v>8739.0769230768983</c:v>
                </c:pt>
                <c:pt idx="309">
                  <c:v>8738.9807692307695</c:v>
                </c:pt>
                <c:pt idx="310">
                  <c:v>9769.2884615384846</c:v>
                </c:pt>
                <c:pt idx="311">
                  <c:v>12578.538461538488</c:v>
                </c:pt>
                <c:pt idx="312">
                  <c:v>8929.9245283019063</c:v>
                </c:pt>
                <c:pt idx="313">
                  <c:v>11898.833333333327</c:v>
                </c:pt>
                <c:pt idx="314">
                  <c:v>7421.0555555555666</c:v>
                </c:pt>
                <c:pt idx="315">
                  <c:v>9286.4444444444489</c:v>
                </c:pt>
                <c:pt idx="316">
                  <c:v>7984.3888888888887</c:v>
                </c:pt>
                <c:pt idx="317">
                  <c:v>9553.9259259258997</c:v>
                </c:pt>
                <c:pt idx="318">
                  <c:v>9291.7777777777774</c:v>
                </c:pt>
                <c:pt idx="319">
                  <c:v>11803.611111111131</c:v>
                </c:pt>
                <c:pt idx="320">
                  <c:v>8712.2545454545489</c:v>
                </c:pt>
                <c:pt idx="321">
                  <c:v>9053.4727272727287</c:v>
                </c:pt>
                <c:pt idx="322">
                  <c:v>10669.054545454546</c:v>
                </c:pt>
                <c:pt idx="323">
                  <c:v>11413.909090909085</c:v>
                </c:pt>
                <c:pt idx="324">
                  <c:v>11686.163636363623</c:v>
                </c:pt>
                <c:pt idx="325">
                  <c:v>9313.5</c:v>
                </c:pt>
                <c:pt idx="326">
                  <c:v>8685.4642857142862</c:v>
                </c:pt>
                <c:pt idx="327">
                  <c:v>8757.9821428571449</c:v>
                </c:pt>
                <c:pt idx="328">
                  <c:v>9427.8749999999709</c:v>
                </c:pt>
                <c:pt idx="329">
                  <c:v>8924.0175438596489</c:v>
                </c:pt>
                <c:pt idx="330">
                  <c:v>9356.9824561403548</c:v>
                </c:pt>
                <c:pt idx="331">
                  <c:v>10881.333333333327</c:v>
                </c:pt>
                <c:pt idx="332">
                  <c:v>9320.2105263158119</c:v>
                </c:pt>
                <c:pt idx="333">
                  <c:v>8054.5438596491185</c:v>
                </c:pt>
                <c:pt idx="334">
                  <c:v>8022.0344827586205</c:v>
                </c:pt>
                <c:pt idx="335">
                  <c:v>7781.0689655172509</c:v>
                </c:pt>
                <c:pt idx="336">
                  <c:v>7811.0689655172519</c:v>
                </c:pt>
                <c:pt idx="337">
                  <c:v>11945.637931034482</c:v>
                </c:pt>
                <c:pt idx="338">
                  <c:v>8364.1724137931033</c:v>
                </c:pt>
                <c:pt idx="339">
                  <c:v>7867.5084745762724</c:v>
                </c:pt>
                <c:pt idx="340">
                  <c:v>8056.0847457627115</c:v>
                </c:pt>
                <c:pt idx="341">
                  <c:v>8837.8305084745771</c:v>
                </c:pt>
                <c:pt idx="342">
                  <c:v>7910</c:v>
                </c:pt>
                <c:pt idx="343">
                  <c:v>7875.9322033898334</c:v>
                </c:pt>
                <c:pt idx="344">
                  <c:v>8422.2033898305108</c:v>
                </c:pt>
                <c:pt idx="345">
                  <c:v>7527.2500000000009</c:v>
                </c:pt>
                <c:pt idx="346">
                  <c:v>7797.4333333333207</c:v>
                </c:pt>
                <c:pt idx="347">
                  <c:v>8767.4833333333136</c:v>
                </c:pt>
                <c:pt idx="348">
                  <c:v>8787.9833333333136</c:v>
                </c:pt>
                <c:pt idx="349">
                  <c:v>9100.8833333333114</c:v>
                </c:pt>
                <c:pt idx="350">
                  <c:v>9728.8166666666439</c:v>
                </c:pt>
                <c:pt idx="351">
                  <c:v>12262.449999999983</c:v>
                </c:pt>
                <c:pt idx="352">
                  <c:v>8811.6721311475412</c:v>
                </c:pt>
                <c:pt idx="353">
                  <c:v>7426.377049180328</c:v>
                </c:pt>
                <c:pt idx="354">
                  <c:v>8152.0327868852455</c:v>
                </c:pt>
                <c:pt idx="355">
                  <c:v>8151.6393442622948</c:v>
                </c:pt>
                <c:pt idx="356">
                  <c:v>10639.491803278685</c:v>
                </c:pt>
                <c:pt idx="357">
                  <c:v>7399.6557377049194</c:v>
                </c:pt>
                <c:pt idx="358">
                  <c:v>7951.2622950819823</c:v>
                </c:pt>
                <c:pt idx="359">
                  <c:v>7669.5245901639537</c:v>
                </c:pt>
                <c:pt idx="360">
                  <c:v>7363.5573770491765</c:v>
                </c:pt>
                <c:pt idx="361">
                  <c:v>7742.2131147541004</c:v>
                </c:pt>
                <c:pt idx="362">
                  <c:v>9263.1147540983729</c:v>
                </c:pt>
                <c:pt idx="363">
                  <c:v>9557.6885245901631</c:v>
                </c:pt>
                <c:pt idx="364">
                  <c:v>8428.7580645161288</c:v>
                </c:pt>
                <c:pt idx="365">
                  <c:v>7159.1129032258204</c:v>
                </c:pt>
                <c:pt idx="366">
                  <c:v>6703.5483870967646</c:v>
                </c:pt>
                <c:pt idx="367">
                  <c:v>7882.6451612903329</c:v>
                </c:pt>
                <c:pt idx="368">
                  <c:v>7600.2258064516318</c:v>
                </c:pt>
                <c:pt idx="369">
                  <c:v>8348.677419354839</c:v>
                </c:pt>
                <c:pt idx="370">
                  <c:v>7663.7460317460318</c:v>
                </c:pt>
                <c:pt idx="371">
                  <c:v>9004.8412698412703</c:v>
                </c:pt>
                <c:pt idx="372">
                  <c:v>7787.7936507936511</c:v>
                </c:pt>
                <c:pt idx="373">
                  <c:v>7774.171875</c:v>
                </c:pt>
                <c:pt idx="374">
                  <c:v>9897.546875</c:v>
                </c:pt>
                <c:pt idx="375">
                  <c:v>7100.8153846153946</c:v>
                </c:pt>
                <c:pt idx="376">
                  <c:v>9356.9230769230671</c:v>
                </c:pt>
                <c:pt idx="377">
                  <c:v>10912.439393939389</c:v>
                </c:pt>
                <c:pt idx="378">
                  <c:v>7487.0606060606233</c:v>
                </c:pt>
                <c:pt idx="379">
                  <c:v>6897.6212121212229</c:v>
                </c:pt>
                <c:pt idx="380">
                  <c:v>8077.3333333333285</c:v>
                </c:pt>
                <c:pt idx="381">
                  <c:v>8312.6060606060619</c:v>
                </c:pt>
                <c:pt idx="382">
                  <c:v>7880.2575757575814</c:v>
                </c:pt>
                <c:pt idx="383">
                  <c:v>7114.4179104477607</c:v>
                </c:pt>
                <c:pt idx="384">
                  <c:v>7712.86567164181</c:v>
                </c:pt>
                <c:pt idx="385">
                  <c:v>7458.5522388059881</c:v>
                </c:pt>
                <c:pt idx="386">
                  <c:v>7464.7164179104475</c:v>
                </c:pt>
                <c:pt idx="387">
                  <c:v>9601.402985074621</c:v>
                </c:pt>
                <c:pt idx="388">
                  <c:v>11322.985074626844</c:v>
                </c:pt>
                <c:pt idx="389">
                  <c:v>9585.1176470588289</c:v>
                </c:pt>
                <c:pt idx="390">
                  <c:v>8026.8970588235288</c:v>
                </c:pt>
                <c:pt idx="391">
                  <c:v>7885.5</c:v>
                </c:pt>
                <c:pt idx="392">
                  <c:v>8921.8405797101441</c:v>
                </c:pt>
                <c:pt idx="393">
                  <c:v>9609.4057971014518</c:v>
                </c:pt>
                <c:pt idx="394">
                  <c:v>10961.31884057971</c:v>
                </c:pt>
                <c:pt idx="395">
                  <c:v>12063.333333333327</c:v>
                </c:pt>
                <c:pt idx="396">
                  <c:v>6585.36231884058</c:v>
                </c:pt>
                <c:pt idx="397">
                  <c:v>7180.5652173913049</c:v>
                </c:pt>
                <c:pt idx="398">
                  <c:v>7829.0857142857139</c:v>
                </c:pt>
                <c:pt idx="399">
                  <c:v>7982.4000000000015</c:v>
                </c:pt>
                <c:pt idx="400">
                  <c:v>6777.3380281690152</c:v>
                </c:pt>
                <c:pt idx="401">
                  <c:v>7372.4929577464682</c:v>
                </c:pt>
                <c:pt idx="402">
                  <c:v>9454.25</c:v>
                </c:pt>
                <c:pt idx="403">
                  <c:v>7035.0138888888887</c:v>
                </c:pt>
                <c:pt idx="404">
                  <c:v>8026.0555555555666</c:v>
                </c:pt>
                <c:pt idx="405">
                  <c:v>7681.2638888888887</c:v>
                </c:pt>
                <c:pt idx="406">
                  <c:v>10037.277777777777</c:v>
                </c:pt>
                <c:pt idx="407">
                  <c:v>7630.9726027397255</c:v>
                </c:pt>
                <c:pt idx="408">
                  <c:v>8544.9863013698632</c:v>
                </c:pt>
                <c:pt idx="409">
                  <c:v>5760.5479452054797</c:v>
                </c:pt>
                <c:pt idx="410">
                  <c:v>10511.753424657531</c:v>
                </c:pt>
                <c:pt idx="411">
                  <c:v>11457.657534246553</c:v>
                </c:pt>
                <c:pt idx="412">
                  <c:v>7334.0945945946096</c:v>
                </c:pt>
                <c:pt idx="413">
                  <c:v>8977.0810810810817</c:v>
                </c:pt>
                <c:pt idx="414">
                  <c:v>9445.581081081069</c:v>
                </c:pt>
                <c:pt idx="415">
                  <c:v>6551.5466666666844</c:v>
                </c:pt>
                <c:pt idx="416">
                  <c:v>7530.1466666666893</c:v>
                </c:pt>
                <c:pt idx="417">
                  <c:v>7908.7236842105294</c:v>
                </c:pt>
                <c:pt idx="418">
                  <c:v>8867.3157894736523</c:v>
                </c:pt>
                <c:pt idx="419">
                  <c:v>6082.1184210526499</c:v>
                </c:pt>
                <c:pt idx="420">
                  <c:v>7666.4868421052615</c:v>
                </c:pt>
                <c:pt idx="421">
                  <c:v>7570.8552631579205</c:v>
                </c:pt>
                <c:pt idx="422">
                  <c:v>9359.105263157895</c:v>
                </c:pt>
                <c:pt idx="423">
                  <c:v>8197.675324675296</c:v>
                </c:pt>
                <c:pt idx="424">
                  <c:v>9332.7012987012986</c:v>
                </c:pt>
                <c:pt idx="425">
                  <c:v>8244.4935064935071</c:v>
                </c:pt>
                <c:pt idx="426">
                  <c:v>10672.545454545454</c:v>
                </c:pt>
                <c:pt idx="427">
                  <c:v>11254.623376623373</c:v>
                </c:pt>
                <c:pt idx="428">
                  <c:v>6584.551282051294</c:v>
                </c:pt>
                <c:pt idx="429">
                  <c:v>8289.5512820512849</c:v>
                </c:pt>
                <c:pt idx="430">
                  <c:v>7684</c:v>
                </c:pt>
                <c:pt idx="431">
                  <c:v>7283.3037974683548</c:v>
                </c:pt>
                <c:pt idx="432">
                  <c:v>7583.85</c:v>
                </c:pt>
                <c:pt idx="433">
                  <c:v>8489.1749999999811</c:v>
                </c:pt>
                <c:pt idx="434">
                  <c:v>8613.7250000000004</c:v>
                </c:pt>
                <c:pt idx="435">
                  <c:v>7577.5125000000044</c:v>
                </c:pt>
                <c:pt idx="436">
                  <c:v>7596.5061728395058</c:v>
                </c:pt>
                <c:pt idx="437">
                  <c:v>7654.2098765432092</c:v>
                </c:pt>
                <c:pt idx="438">
                  <c:v>8888.5802469135797</c:v>
                </c:pt>
                <c:pt idx="439">
                  <c:v>9135.5308641975316</c:v>
                </c:pt>
                <c:pt idx="440">
                  <c:v>6517.5432098765432</c:v>
                </c:pt>
                <c:pt idx="441">
                  <c:v>7045.5432098765432</c:v>
                </c:pt>
                <c:pt idx="442">
                  <c:v>7307.74074074073</c:v>
                </c:pt>
                <c:pt idx="443">
                  <c:v>7629.4024390243894</c:v>
                </c:pt>
                <c:pt idx="444">
                  <c:v>8041.7804878048673</c:v>
                </c:pt>
                <c:pt idx="445">
                  <c:v>8756.9024390243831</c:v>
                </c:pt>
                <c:pt idx="446">
                  <c:v>11846.518072289155</c:v>
                </c:pt>
                <c:pt idx="447">
                  <c:v>6887.795180722891</c:v>
                </c:pt>
                <c:pt idx="448">
                  <c:v>8469</c:v>
                </c:pt>
                <c:pt idx="449">
                  <c:v>10093.060240963849</c:v>
                </c:pt>
                <c:pt idx="450">
                  <c:v>9803.7228915662708</c:v>
                </c:pt>
                <c:pt idx="451">
                  <c:v>7236.4047619047615</c:v>
                </c:pt>
                <c:pt idx="452">
                  <c:v>8310.083333333323</c:v>
                </c:pt>
                <c:pt idx="453">
                  <c:v>6986.4642857142835</c:v>
                </c:pt>
                <c:pt idx="454">
                  <c:v>7490.9880952380727</c:v>
                </c:pt>
                <c:pt idx="455">
                  <c:v>7365.9166666666833</c:v>
                </c:pt>
                <c:pt idx="456">
                  <c:v>7313.9880952380727</c:v>
                </c:pt>
                <c:pt idx="457">
                  <c:v>8359.6547619047669</c:v>
                </c:pt>
                <c:pt idx="458">
                  <c:v>6737.517647058824</c:v>
                </c:pt>
                <c:pt idx="459">
                  <c:v>6947.0235294117865</c:v>
                </c:pt>
                <c:pt idx="460">
                  <c:v>6957.2941176470595</c:v>
                </c:pt>
                <c:pt idx="461">
                  <c:v>8829.2941176470431</c:v>
                </c:pt>
                <c:pt idx="462">
                  <c:v>10172.823529411762</c:v>
                </c:pt>
                <c:pt idx="463">
                  <c:v>7063.6162790697954</c:v>
                </c:pt>
                <c:pt idx="464">
                  <c:v>6767.1744186046508</c:v>
                </c:pt>
                <c:pt idx="465">
                  <c:v>10567.127906976742</c:v>
                </c:pt>
                <c:pt idx="466">
                  <c:v>7604.4482758620688</c:v>
                </c:pt>
                <c:pt idx="467">
                  <c:v>7122.4367816091935</c:v>
                </c:pt>
                <c:pt idx="468">
                  <c:v>6461.4252873563219</c:v>
                </c:pt>
                <c:pt idx="469">
                  <c:v>8366.7931034482554</c:v>
                </c:pt>
                <c:pt idx="470">
                  <c:v>5949.159090909101</c:v>
                </c:pt>
                <c:pt idx="471">
                  <c:v>6527.1910112359665</c:v>
                </c:pt>
                <c:pt idx="472">
                  <c:v>7093.7191011236055</c:v>
                </c:pt>
                <c:pt idx="473">
                  <c:v>7376.0898876404381</c:v>
                </c:pt>
                <c:pt idx="474">
                  <c:v>8251.786516853932</c:v>
                </c:pt>
                <c:pt idx="475">
                  <c:v>8472.4044943820227</c:v>
                </c:pt>
                <c:pt idx="476">
                  <c:v>6714.6555555555733</c:v>
                </c:pt>
                <c:pt idx="477">
                  <c:v>8864.6111111111168</c:v>
                </c:pt>
                <c:pt idx="478">
                  <c:v>6785.322222222233</c:v>
                </c:pt>
                <c:pt idx="479">
                  <c:v>7660.9111111111124</c:v>
                </c:pt>
                <c:pt idx="480">
                  <c:v>7918.8111111111211</c:v>
                </c:pt>
                <c:pt idx="481">
                  <c:v>7983.4444444444425</c:v>
                </c:pt>
                <c:pt idx="482">
                  <c:v>10001.433333333331</c:v>
                </c:pt>
                <c:pt idx="483">
                  <c:v>9103.4945054945056</c:v>
                </c:pt>
                <c:pt idx="484">
                  <c:v>7136.0978260869624</c:v>
                </c:pt>
                <c:pt idx="485">
                  <c:v>9198.8586956521394</c:v>
                </c:pt>
                <c:pt idx="486">
                  <c:v>6515.673913043478</c:v>
                </c:pt>
                <c:pt idx="487">
                  <c:v>7993.2608695652343</c:v>
                </c:pt>
                <c:pt idx="488">
                  <c:v>10066.53260869565</c:v>
                </c:pt>
                <c:pt idx="489">
                  <c:v>8206.5483870967746</c:v>
                </c:pt>
                <c:pt idx="490">
                  <c:v>8140.8387096774204</c:v>
                </c:pt>
                <c:pt idx="491">
                  <c:v>7420.7849462365575</c:v>
                </c:pt>
                <c:pt idx="492">
                  <c:v>6287.4468085106382</c:v>
                </c:pt>
                <c:pt idx="493">
                  <c:v>7015.4361702127662</c:v>
                </c:pt>
                <c:pt idx="494">
                  <c:v>7200.5957446808534</c:v>
                </c:pt>
                <c:pt idx="495">
                  <c:v>7194.568421052646</c:v>
                </c:pt>
                <c:pt idx="496">
                  <c:v>7606.5578947368422</c:v>
                </c:pt>
                <c:pt idx="497">
                  <c:v>8110.6</c:v>
                </c:pt>
                <c:pt idx="498">
                  <c:v>8014.8526315789704</c:v>
                </c:pt>
                <c:pt idx="499">
                  <c:v>7797.6000000000013</c:v>
                </c:pt>
                <c:pt idx="500">
                  <c:v>7792.9791666666724</c:v>
                </c:pt>
                <c:pt idx="501">
                  <c:v>6499.6666666666943</c:v>
                </c:pt>
                <c:pt idx="502">
                  <c:v>6546.2708333333285</c:v>
                </c:pt>
                <c:pt idx="503">
                  <c:v>9640.2604166666679</c:v>
                </c:pt>
                <c:pt idx="504">
                  <c:v>6279.1855670103114</c:v>
                </c:pt>
                <c:pt idx="505">
                  <c:v>7003.4948453608195</c:v>
                </c:pt>
                <c:pt idx="506">
                  <c:v>7187.2577319587626</c:v>
                </c:pt>
                <c:pt idx="507">
                  <c:v>7476.2680412371137</c:v>
                </c:pt>
                <c:pt idx="508">
                  <c:v>7472.3298969072284</c:v>
                </c:pt>
                <c:pt idx="509">
                  <c:v>8351.4948453608249</c:v>
                </c:pt>
                <c:pt idx="510">
                  <c:v>7484.2755102040765</c:v>
                </c:pt>
                <c:pt idx="511">
                  <c:v>7605.1428571428569</c:v>
                </c:pt>
                <c:pt idx="512">
                  <c:v>7325.7448979591845</c:v>
                </c:pt>
                <c:pt idx="513">
                  <c:v>8171.3775510204086</c:v>
                </c:pt>
                <c:pt idx="514">
                  <c:v>9353.2626262626272</c:v>
                </c:pt>
                <c:pt idx="515">
                  <c:v>7064.3939393939454</c:v>
                </c:pt>
                <c:pt idx="516">
                  <c:v>7232.2323232323215</c:v>
                </c:pt>
                <c:pt idx="517">
                  <c:v>7682.0707070707067</c:v>
                </c:pt>
                <c:pt idx="518">
                  <c:v>7458.3900000000012</c:v>
                </c:pt>
                <c:pt idx="519">
                  <c:v>7139.73</c:v>
                </c:pt>
                <c:pt idx="520">
                  <c:v>6968.1</c:v>
                </c:pt>
                <c:pt idx="521">
                  <c:v>13245.220000000008</c:v>
                </c:pt>
                <c:pt idx="522">
                  <c:v>6952.5049504950493</c:v>
                </c:pt>
                <c:pt idx="523">
                  <c:v>7845.1287128712884</c:v>
                </c:pt>
                <c:pt idx="524">
                  <c:v>8432.5247524752685</c:v>
                </c:pt>
                <c:pt idx="525">
                  <c:v>5805.8811881188121</c:v>
                </c:pt>
                <c:pt idx="526">
                  <c:v>6719.4356435643558</c:v>
                </c:pt>
                <c:pt idx="527">
                  <c:v>6927.5940594059512</c:v>
                </c:pt>
                <c:pt idx="528">
                  <c:v>6784.5980392156944</c:v>
                </c:pt>
                <c:pt idx="529">
                  <c:v>7172.3823529411766</c:v>
                </c:pt>
                <c:pt idx="530">
                  <c:v>8107.8039215686404</c:v>
                </c:pt>
                <c:pt idx="531">
                  <c:v>6967.8333333333285</c:v>
                </c:pt>
                <c:pt idx="532">
                  <c:v>8076.8333333333285</c:v>
                </c:pt>
                <c:pt idx="533">
                  <c:v>7720.8543689320386</c:v>
                </c:pt>
                <c:pt idx="534">
                  <c:v>8422.6990291262136</c:v>
                </c:pt>
                <c:pt idx="535">
                  <c:v>6575.5242718446634</c:v>
                </c:pt>
                <c:pt idx="536">
                  <c:v>7380.6116504854554</c:v>
                </c:pt>
                <c:pt idx="537">
                  <c:v>7122.2621359223303</c:v>
                </c:pt>
                <c:pt idx="538">
                  <c:v>7371.9326923076915</c:v>
                </c:pt>
                <c:pt idx="539">
                  <c:v>7524.8653846153957</c:v>
                </c:pt>
                <c:pt idx="540">
                  <c:v>6844.8461538461515</c:v>
                </c:pt>
                <c:pt idx="541">
                  <c:v>8088.9326923076915</c:v>
                </c:pt>
                <c:pt idx="542">
                  <c:v>10098.307692307681</c:v>
                </c:pt>
                <c:pt idx="543">
                  <c:v>6891.1714285714443</c:v>
                </c:pt>
                <c:pt idx="544">
                  <c:v>6762.276190476201</c:v>
                </c:pt>
                <c:pt idx="545">
                  <c:v>7270.3523809523813</c:v>
                </c:pt>
                <c:pt idx="546">
                  <c:v>9083.0476190475911</c:v>
                </c:pt>
                <c:pt idx="547">
                  <c:v>12269.066666666644</c:v>
                </c:pt>
                <c:pt idx="548">
                  <c:v>6454.8301886792451</c:v>
                </c:pt>
                <c:pt idx="549">
                  <c:v>7058.2641509433961</c:v>
                </c:pt>
                <c:pt idx="550">
                  <c:v>8040.64150943398</c:v>
                </c:pt>
                <c:pt idx="551">
                  <c:v>7458.2075471698117</c:v>
                </c:pt>
                <c:pt idx="552">
                  <c:v>6839.0280373831774</c:v>
                </c:pt>
                <c:pt idx="553">
                  <c:v>8580.0186915887625</c:v>
                </c:pt>
                <c:pt idx="554">
                  <c:v>9017.7129629629708</c:v>
                </c:pt>
                <c:pt idx="555">
                  <c:v>10308.685185185181</c:v>
                </c:pt>
                <c:pt idx="556">
                  <c:v>6636.3148148148148</c:v>
                </c:pt>
                <c:pt idx="557">
                  <c:v>7563.5185185185173</c:v>
                </c:pt>
                <c:pt idx="558">
                  <c:v>7904.9351851851825</c:v>
                </c:pt>
                <c:pt idx="559">
                  <c:v>7890.3611111111231</c:v>
                </c:pt>
                <c:pt idx="560">
                  <c:v>9278.2477064220184</c:v>
                </c:pt>
                <c:pt idx="561">
                  <c:v>7371.7247706421995</c:v>
                </c:pt>
                <c:pt idx="562">
                  <c:v>7229.9908256880726</c:v>
                </c:pt>
                <c:pt idx="563">
                  <c:v>10172.100917431193</c:v>
                </c:pt>
                <c:pt idx="564">
                  <c:v>6604.3363636363638</c:v>
                </c:pt>
                <c:pt idx="565">
                  <c:v>6495.7272727272721</c:v>
                </c:pt>
                <c:pt idx="566">
                  <c:v>6812.136363636364</c:v>
                </c:pt>
                <c:pt idx="567">
                  <c:v>7956.3636363636533</c:v>
                </c:pt>
                <c:pt idx="568">
                  <c:v>8139.2432432432415</c:v>
                </c:pt>
                <c:pt idx="569">
                  <c:v>7388.9639639639654</c:v>
                </c:pt>
                <c:pt idx="570">
                  <c:v>7438.9909909909911</c:v>
                </c:pt>
                <c:pt idx="571">
                  <c:v>7279.1081081081074</c:v>
                </c:pt>
                <c:pt idx="572">
                  <c:v>7630.5765765765864</c:v>
                </c:pt>
                <c:pt idx="573">
                  <c:v>7794.7207207207211</c:v>
                </c:pt>
                <c:pt idx="574">
                  <c:v>10741.297297297297</c:v>
                </c:pt>
                <c:pt idx="575">
                  <c:v>7055.93749999999</c:v>
                </c:pt>
                <c:pt idx="576">
                  <c:v>6069.3214285714512</c:v>
                </c:pt>
                <c:pt idx="577">
                  <c:v>6482.6250000000109</c:v>
                </c:pt>
                <c:pt idx="578">
                  <c:v>7175.294642857144</c:v>
                </c:pt>
                <c:pt idx="579">
                  <c:v>7582.5714285714403</c:v>
                </c:pt>
                <c:pt idx="580">
                  <c:v>7468.25</c:v>
                </c:pt>
                <c:pt idx="581">
                  <c:v>8214.0446428571649</c:v>
                </c:pt>
                <c:pt idx="582">
                  <c:v>8449.4553571428551</c:v>
                </c:pt>
                <c:pt idx="583">
                  <c:v>10682.741071428572</c:v>
                </c:pt>
                <c:pt idx="584">
                  <c:v>7156.0176991150556</c:v>
                </c:pt>
                <c:pt idx="585">
                  <c:v>7037.3805309734544</c:v>
                </c:pt>
                <c:pt idx="586">
                  <c:v>7439.5929203540018</c:v>
                </c:pt>
                <c:pt idx="587">
                  <c:v>7396.4912280701856</c:v>
                </c:pt>
                <c:pt idx="588">
                  <c:v>7991.8947368420995</c:v>
                </c:pt>
                <c:pt idx="589">
                  <c:v>8231.1578947368416</c:v>
                </c:pt>
                <c:pt idx="590">
                  <c:v>9228.8859649122587</c:v>
                </c:pt>
                <c:pt idx="591">
                  <c:v>6684.3304347826124</c:v>
                </c:pt>
                <c:pt idx="592">
                  <c:v>5851.0695652173954</c:v>
                </c:pt>
                <c:pt idx="593">
                  <c:v>7921.6869565217512</c:v>
                </c:pt>
                <c:pt idx="594">
                  <c:v>7248.4000000000005</c:v>
                </c:pt>
                <c:pt idx="595">
                  <c:v>8389.826086956522</c:v>
                </c:pt>
                <c:pt idx="596">
                  <c:v>9515.3913043478042</c:v>
                </c:pt>
                <c:pt idx="597">
                  <c:v>7930.2068965517356</c:v>
                </c:pt>
                <c:pt idx="598">
                  <c:v>9525.0775862068931</c:v>
                </c:pt>
                <c:pt idx="599">
                  <c:v>6741.5689655172509</c:v>
                </c:pt>
                <c:pt idx="600">
                  <c:v>8752.120689655163</c:v>
                </c:pt>
                <c:pt idx="601">
                  <c:v>7712.0344827586205</c:v>
                </c:pt>
                <c:pt idx="602">
                  <c:v>8733.3879310344601</c:v>
                </c:pt>
                <c:pt idx="603">
                  <c:v>5957.051282051294</c:v>
                </c:pt>
                <c:pt idx="604">
                  <c:v>6414.6153846153957</c:v>
                </c:pt>
                <c:pt idx="605">
                  <c:v>6829.2222222222244</c:v>
                </c:pt>
                <c:pt idx="606">
                  <c:v>6532.0854700854734</c:v>
                </c:pt>
                <c:pt idx="607">
                  <c:v>6888.2307692307695</c:v>
                </c:pt>
                <c:pt idx="608">
                  <c:v>6602.871794871794</c:v>
                </c:pt>
                <c:pt idx="609">
                  <c:v>7804.3076923076915</c:v>
                </c:pt>
                <c:pt idx="610">
                  <c:v>6779.9743589743421</c:v>
                </c:pt>
                <c:pt idx="611">
                  <c:v>7102.8461538461515</c:v>
                </c:pt>
                <c:pt idx="612">
                  <c:v>8091.1709401709404</c:v>
                </c:pt>
                <c:pt idx="613">
                  <c:v>10518.247863247863</c:v>
                </c:pt>
                <c:pt idx="614">
                  <c:v>12136.752136752139</c:v>
                </c:pt>
                <c:pt idx="615">
                  <c:v>10993.854700854699</c:v>
                </c:pt>
                <c:pt idx="616">
                  <c:v>6748.5</c:v>
                </c:pt>
                <c:pt idx="617">
                  <c:v>8734.5084745762706</c:v>
                </c:pt>
                <c:pt idx="618">
                  <c:v>7604.1355932203387</c:v>
                </c:pt>
                <c:pt idx="619">
                  <c:v>7270.3781512605046</c:v>
                </c:pt>
                <c:pt idx="620">
                  <c:v>6808.4705882352855</c:v>
                </c:pt>
                <c:pt idx="621">
                  <c:v>6582.8571428571431</c:v>
                </c:pt>
                <c:pt idx="622">
                  <c:v>6569.722689075651</c:v>
                </c:pt>
                <c:pt idx="623">
                  <c:v>6860.9831932773095</c:v>
                </c:pt>
                <c:pt idx="624">
                  <c:v>6367.7833333333265</c:v>
                </c:pt>
                <c:pt idx="625">
                  <c:v>6859.6916666666903</c:v>
                </c:pt>
                <c:pt idx="626">
                  <c:v>8051.6833333333325</c:v>
                </c:pt>
                <c:pt idx="627">
                  <c:v>8668.4666666666399</c:v>
                </c:pt>
                <c:pt idx="628">
                  <c:v>9430.3499999999749</c:v>
                </c:pt>
                <c:pt idx="629">
                  <c:v>6826.7</c:v>
                </c:pt>
                <c:pt idx="630">
                  <c:v>7417.2333333333227</c:v>
                </c:pt>
                <c:pt idx="631">
                  <c:v>8544.7416666666668</c:v>
                </c:pt>
                <c:pt idx="632">
                  <c:v>6662.1652892562133</c:v>
                </c:pt>
                <c:pt idx="633">
                  <c:v>6744.5289256198457</c:v>
                </c:pt>
                <c:pt idx="634">
                  <c:v>7017.8429752066113</c:v>
                </c:pt>
                <c:pt idx="635">
                  <c:v>8028.3305785123957</c:v>
                </c:pt>
                <c:pt idx="636">
                  <c:v>7491.7190082644629</c:v>
                </c:pt>
                <c:pt idx="637">
                  <c:v>7471.0413223140495</c:v>
                </c:pt>
                <c:pt idx="638">
                  <c:v>6488.0245901639546</c:v>
                </c:pt>
                <c:pt idx="639">
                  <c:v>6410.5081967213218</c:v>
                </c:pt>
                <c:pt idx="640">
                  <c:v>6093.5491803278692</c:v>
                </c:pt>
                <c:pt idx="641">
                  <c:v>7113.9512195121952</c:v>
                </c:pt>
                <c:pt idx="642">
                  <c:v>8918.7235772357981</c:v>
                </c:pt>
                <c:pt idx="643">
                  <c:v>5786.7804878048682</c:v>
                </c:pt>
                <c:pt idx="644">
                  <c:v>6710.4878048780465</c:v>
                </c:pt>
                <c:pt idx="645">
                  <c:v>7879.6016260162733</c:v>
                </c:pt>
                <c:pt idx="646">
                  <c:v>8663.2845528455564</c:v>
                </c:pt>
                <c:pt idx="647">
                  <c:v>6847.5483870967637</c:v>
                </c:pt>
                <c:pt idx="648">
                  <c:v>6827.3709677419347</c:v>
                </c:pt>
                <c:pt idx="649">
                  <c:v>6666.6560000000054</c:v>
                </c:pt>
                <c:pt idx="650">
                  <c:v>6880.232</c:v>
                </c:pt>
                <c:pt idx="651">
                  <c:v>5737.5360000000001</c:v>
                </c:pt>
                <c:pt idx="652">
                  <c:v>7067.2480000000005</c:v>
                </c:pt>
                <c:pt idx="653">
                  <c:v>7472.3120000000044</c:v>
                </c:pt>
                <c:pt idx="654">
                  <c:v>7279.7840000000006</c:v>
                </c:pt>
                <c:pt idx="655">
                  <c:v>6962.1984126984125</c:v>
                </c:pt>
                <c:pt idx="656">
                  <c:v>6462.9047619047615</c:v>
                </c:pt>
                <c:pt idx="657">
                  <c:v>6831.6587301587324</c:v>
                </c:pt>
                <c:pt idx="658">
                  <c:v>6848.6666666666943</c:v>
                </c:pt>
                <c:pt idx="659">
                  <c:v>7237.4173228346335</c:v>
                </c:pt>
                <c:pt idx="660">
                  <c:v>6043.6299212598688</c:v>
                </c:pt>
                <c:pt idx="661">
                  <c:v>6465.5433070866075</c:v>
                </c:pt>
                <c:pt idx="662">
                  <c:v>6713.2834645669354</c:v>
                </c:pt>
                <c:pt idx="663">
                  <c:v>6986.5039370078739</c:v>
                </c:pt>
                <c:pt idx="664">
                  <c:v>7110.5937499999991</c:v>
                </c:pt>
                <c:pt idx="665">
                  <c:v>6472.16406250001</c:v>
                </c:pt>
                <c:pt idx="666">
                  <c:v>7713.0937499999991</c:v>
                </c:pt>
                <c:pt idx="667">
                  <c:v>8598.1640625000109</c:v>
                </c:pt>
                <c:pt idx="668">
                  <c:v>7055.7519379844962</c:v>
                </c:pt>
                <c:pt idx="669">
                  <c:v>7939.2403100775191</c:v>
                </c:pt>
                <c:pt idx="670">
                  <c:v>6558.6201550387614</c:v>
                </c:pt>
                <c:pt idx="671">
                  <c:v>7693.6744186046508</c:v>
                </c:pt>
                <c:pt idx="672">
                  <c:v>7665.2015503875973</c:v>
                </c:pt>
                <c:pt idx="673">
                  <c:v>7207.3153846153955</c:v>
                </c:pt>
                <c:pt idx="674">
                  <c:v>7584.8769230769358</c:v>
                </c:pt>
                <c:pt idx="675">
                  <c:v>7318.9770992366239</c:v>
                </c:pt>
                <c:pt idx="676">
                  <c:v>6423.3053435114534</c:v>
                </c:pt>
                <c:pt idx="677">
                  <c:v>6957.8091603053444</c:v>
                </c:pt>
                <c:pt idx="678">
                  <c:v>6830.3664122137434</c:v>
                </c:pt>
                <c:pt idx="679">
                  <c:v>6952.9389312977091</c:v>
                </c:pt>
                <c:pt idx="680">
                  <c:v>7147.2213740458119</c:v>
                </c:pt>
                <c:pt idx="681">
                  <c:v>8618.318181818182</c:v>
                </c:pt>
                <c:pt idx="682">
                  <c:v>8705.515151515152</c:v>
                </c:pt>
                <c:pt idx="683">
                  <c:v>7412.575757575758</c:v>
                </c:pt>
                <c:pt idx="684">
                  <c:v>8487.8863636363403</c:v>
                </c:pt>
                <c:pt idx="685">
                  <c:v>9831.818181818182</c:v>
                </c:pt>
                <c:pt idx="686">
                  <c:v>7200.4586466165401</c:v>
                </c:pt>
                <c:pt idx="687">
                  <c:v>7869.0225563909844</c:v>
                </c:pt>
                <c:pt idx="688">
                  <c:v>6134.873134328358</c:v>
                </c:pt>
                <c:pt idx="689">
                  <c:v>7837.3507462686584</c:v>
                </c:pt>
                <c:pt idx="690">
                  <c:v>6547.8283582089525</c:v>
                </c:pt>
                <c:pt idx="691">
                  <c:v>6966.5149253731333</c:v>
                </c:pt>
                <c:pt idx="692">
                  <c:v>6823.8955223880594</c:v>
                </c:pt>
                <c:pt idx="693">
                  <c:v>6951.718518518519</c:v>
                </c:pt>
                <c:pt idx="694">
                  <c:v>8051.6296296296532</c:v>
                </c:pt>
                <c:pt idx="695">
                  <c:v>6144.7037037037035</c:v>
                </c:pt>
                <c:pt idx="696">
                  <c:v>6183.8148148148148</c:v>
                </c:pt>
                <c:pt idx="697">
                  <c:v>6576.8148148148157</c:v>
                </c:pt>
                <c:pt idx="698">
                  <c:v>8835.7352941176468</c:v>
                </c:pt>
                <c:pt idx="699">
                  <c:v>6951.3941605839609</c:v>
                </c:pt>
                <c:pt idx="700">
                  <c:v>7909.4306569342934</c:v>
                </c:pt>
                <c:pt idx="701">
                  <c:v>7296.2773722627626</c:v>
                </c:pt>
                <c:pt idx="702">
                  <c:v>8110.4744525547385</c:v>
                </c:pt>
                <c:pt idx="703">
                  <c:v>7567.5182481751854</c:v>
                </c:pt>
                <c:pt idx="704">
                  <c:v>8694.4130434782601</c:v>
                </c:pt>
                <c:pt idx="705">
                  <c:v>6685.9640287769844</c:v>
                </c:pt>
                <c:pt idx="706">
                  <c:v>5736.7553956834554</c:v>
                </c:pt>
                <c:pt idx="707">
                  <c:v>7196.6474820143885</c:v>
                </c:pt>
                <c:pt idx="708">
                  <c:v>10113.812949640265</c:v>
                </c:pt>
                <c:pt idx="709">
                  <c:v>6992.9</c:v>
                </c:pt>
                <c:pt idx="710">
                  <c:v>6412.2428571428463</c:v>
                </c:pt>
                <c:pt idx="711">
                  <c:v>9246.5642857142848</c:v>
                </c:pt>
                <c:pt idx="712">
                  <c:v>7281.2056737588755</c:v>
                </c:pt>
                <c:pt idx="713">
                  <c:v>7813.6524822695128</c:v>
                </c:pt>
                <c:pt idx="714">
                  <c:v>6198.4822695035664</c:v>
                </c:pt>
                <c:pt idx="715">
                  <c:v>6606.55319148938</c:v>
                </c:pt>
                <c:pt idx="716">
                  <c:v>10575.624113475173</c:v>
                </c:pt>
                <c:pt idx="717">
                  <c:v>6606.7676056338023</c:v>
                </c:pt>
                <c:pt idx="718">
                  <c:v>7085.7042253521122</c:v>
                </c:pt>
                <c:pt idx="719">
                  <c:v>6850.7676056338023</c:v>
                </c:pt>
                <c:pt idx="720">
                  <c:v>7236.1619718310003</c:v>
                </c:pt>
                <c:pt idx="721">
                  <c:v>7472.2183098591549</c:v>
                </c:pt>
                <c:pt idx="722">
                  <c:v>7021.4475524475465</c:v>
                </c:pt>
                <c:pt idx="723">
                  <c:v>6907.6923076923094</c:v>
                </c:pt>
                <c:pt idx="724">
                  <c:v>7762.9230769230771</c:v>
                </c:pt>
                <c:pt idx="725">
                  <c:v>7008.6875</c:v>
                </c:pt>
                <c:pt idx="726">
                  <c:v>6898.7013888888896</c:v>
                </c:pt>
                <c:pt idx="727">
                  <c:v>7720.2916666666833</c:v>
                </c:pt>
                <c:pt idx="728">
                  <c:v>6684.9517241379344</c:v>
                </c:pt>
                <c:pt idx="729">
                  <c:v>6422.0547945205544</c:v>
                </c:pt>
                <c:pt idx="730">
                  <c:v>7886.2534246575497</c:v>
                </c:pt>
                <c:pt idx="731">
                  <c:v>5804.1232876712438</c:v>
                </c:pt>
                <c:pt idx="732">
                  <c:v>6572.2123287671347</c:v>
                </c:pt>
                <c:pt idx="733">
                  <c:v>7108.4315068493115</c:v>
                </c:pt>
                <c:pt idx="734">
                  <c:v>6741.3287671232874</c:v>
                </c:pt>
                <c:pt idx="735">
                  <c:v>7193.7755102040765</c:v>
                </c:pt>
                <c:pt idx="736">
                  <c:v>6375.9931972789</c:v>
                </c:pt>
                <c:pt idx="737">
                  <c:v>6959.405405405405</c:v>
                </c:pt>
                <c:pt idx="738">
                  <c:v>7028.7027027027025</c:v>
                </c:pt>
                <c:pt idx="739">
                  <c:v>6578.8187919462989</c:v>
                </c:pt>
                <c:pt idx="740">
                  <c:v>7143.7852348993401</c:v>
                </c:pt>
                <c:pt idx="741">
                  <c:v>7970.879194630872</c:v>
                </c:pt>
                <c:pt idx="742">
                  <c:v>9519.5637583892749</c:v>
                </c:pt>
                <c:pt idx="743">
                  <c:v>6333.4496644295441</c:v>
                </c:pt>
                <c:pt idx="744">
                  <c:v>6440.3557046979986</c:v>
                </c:pt>
                <c:pt idx="745">
                  <c:v>7001.7046979865781</c:v>
                </c:pt>
                <c:pt idx="746">
                  <c:v>11504.194630872496</c:v>
                </c:pt>
                <c:pt idx="747">
                  <c:v>6546.78</c:v>
                </c:pt>
                <c:pt idx="748">
                  <c:v>6764.8533333333335</c:v>
                </c:pt>
                <c:pt idx="749">
                  <c:v>6545.5933333333305</c:v>
                </c:pt>
                <c:pt idx="750">
                  <c:v>6541.0733333333237</c:v>
                </c:pt>
                <c:pt idx="751">
                  <c:v>6875.4533333333275</c:v>
                </c:pt>
                <c:pt idx="752">
                  <c:v>7093.9133333333275</c:v>
                </c:pt>
                <c:pt idx="753">
                  <c:v>7170.3333333333285</c:v>
                </c:pt>
                <c:pt idx="754">
                  <c:v>7662.7666666666873</c:v>
                </c:pt>
                <c:pt idx="755">
                  <c:v>8724.576158940381</c:v>
                </c:pt>
                <c:pt idx="756">
                  <c:v>9525.388157894733</c:v>
                </c:pt>
                <c:pt idx="757">
                  <c:v>6432.3092105263158</c:v>
                </c:pt>
                <c:pt idx="758">
                  <c:v>6166.0855263158001</c:v>
                </c:pt>
                <c:pt idx="759">
                  <c:v>7786.3684210526499</c:v>
                </c:pt>
                <c:pt idx="760">
                  <c:v>7913.2368421052615</c:v>
                </c:pt>
                <c:pt idx="761">
                  <c:v>9822.83552631579</c:v>
                </c:pt>
                <c:pt idx="762">
                  <c:v>6403.7385620915038</c:v>
                </c:pt>
                <c:pt idx="763">
                  <c:v>6756.8496732026142</c:v>
                </c:pt>
                <c:pt idx="764">
                  <c:v>7781.1176470588234</c:v>
                </c:pt>
                <c:pt idx="765">
                  <c:v>6251.4575163398695</c:v>
                </c:pt>
                <c:pt idx="766">
                  <c:v>6868.8235294117867</c:v>
                </c:pt>
                <c:pt idx="767">
                  <c:v>7119.1168831168834</c:v>
                </c:pt>
                <c:pt idx="768">
                  <c:v>7125.4480519480358</c:v>
                </c:pt>
                <c:pt idx="769">
                  <c:v>8206.5649350649092</c:v>
                </c:pt>
                <c:pt idx="770">
                  <c:v>8265.5844155844152</c:v>
                </c:pt>
                <c:pt idx="771">
                  <c:v>6856.6645161290344</c:v>
                </c:pt>
                <c:pt idx="772">
                  <c:v>6792.6838709677413</c:v>
                </c:pt>
                <c:pt idx="773">
                  <c:v>7143.0903225806451</c:v>
                </c:pt>
                <c:pt idx="774">
                  <c:v>7815.264516129032</c:v>
                </c:pt>
                <c:pt idx="775">
                  <c:v>6595.7096774193551</c:v>
                </c:pt>
                <c:pt idx="776">
                  <c:v>6339.2709677419361</c:v>
                </c:pt>
                <c:pt idx="777">
                  <c:v>6893.6645161290344</c:v>
                </c:pt>
                <c:pt idx="778">
                  <c:v>6598.4322580645194</c:v>
                </c:pt>
                <c:pt idx="779">
                  <c:v>8387.5419354838396</c:v>
                </c:pt>
                <c:pt idx="780">
                  <c:v>9454.1548387096773</c:v>
                </c:pt>
                <c:pt idx="781">
                  <c:v>7332.9358974358965</c:v>
                </c:pt>
                <c:pt idx="782">
                  <c:v>6624.7435897435898</c:v>
                </c:pt>
                <c:pt idx="783">
                  <c:v>8075.2884615384619</c:v>
                </c:pt>
                <c:pt idx="784">
                  <c:v>6997.5064102564093</c:v>
                </c:pt>
                <c:pt idx="785">
                  <c:v>6978.2165605095697</c:v>
                </c:pt>
                <c:pt idx="786">
                  <c:v>8115.3885350318524</c:v>
                </c:pt>
                <c:pt idx="787">
                  <c:v>6297.9617834394903</c:v>
                </c:pt>
                <c:pt idx="788">
                  <c:v>6187.273885350306</c:v>
                </c:pt>
                <c:pt idx="789">
                  <c:v>6195.3439490445871</c:v>
                </c:pt>
                <c:pt idx="790">
                  <c:v>7447.1974522292985</c:v>
                </c:pt>
                <c:pt idx="791">
                  <c:v>7669.6433121019109</c:v>
                </c:pt>
                <c:pt idx="792">
                  <c:v>7369.7215189873423</c:v>
                </c:pt>
                <c:pt idx="793">
                  <c:v>7447.9873417721465</c:v>
                </c:pt>
                <c:pt idx="794">
                  <c:v>8146.6012658227946</c:v>
                </c:pt>
                <c:pt idx="795">
                  <c:v>6575.9493670886086</c:v>
                </c:pt>
                <c:pt idx="796">
                  <c:v>6590.8364779874219</c:v>
                </c:pt>
                <c:pt idx="797">
                  <c:v>7130.1383647798848</c:v>
                </c:pt>
                <c:pt idx="798">
                  <c:v>6513.6666666666943</c:v>
                </c:pt>
                <c:pt idx="799">
                  <c:v>6114.4812500000007</c:v>
                </c:pt>
                <c:pt idx="800">
                  <c:v>6797.4937499999996</c:v>
                </c:pt>
                <c:pt idx="801">
                  <c:v>8906.8062500000015</c:v>
                </c:pt>
                <c:pt idx="802">
                  <c:v>6736.1614906832401</c:v>
                </c:pt>
                <c:pt idx="803">
                  <c:v>8031.2981366459644</c:v>
                </c:pt>
                <c:pt idx="804">
                  <c:v>5578.8571428571431</c:v>
                </c:pt>
                <c:pt idx="805">
                  <c:v>6777.5217391304341</c:v>
                </c:pt>
                <c:pt idx="806">
                  <c:v>7570.7639751552824</c:v>
                </c:pt>
                <c:pt idx="807">
                  <c:v>7243.5370370370365</c:v>
                </c:pt>
                <c:pt idx="808">
                  <c:v>6925.7037037037035</c:v>
                </c:pt>
                <c:pt idx="809">
                  <c:v>5661.1851851851852</c:v>
                </c:pt>
                <c:pt idx="810">
                  <c:v>8532.2147239263795</c:v>
                </c:pt>
                <c:pt idx="811">
                  <c:v>6674.1104294478737</c:v>
                </c:pt>
                <c:pt idx="812">
                  <c:v>6154.1779141104289</c:v>
                </c:pt>
                <c:pt idx="813">
                  <c:v>8630.4601226993618</c:v>
                </c:pt>
                <c:pt idx="814">
                  <c:v>10476.073619631903</c:v>
                </c:pt>
                <c:pt idx="815">
                  <c:v>5983.1768292683028</c:v>
                </c:pt>
                <c:pt idx="816">
                  <c:v>7125.2256097561103</c:v>
                </c:pt>
                <c:pt idx="817">
                  <c:v>7270.9207317073224</c:v>
                </c:pt>
                <c:pt idx="818">
                  <c:v>8389.878048780487</c:v>
                </c:pt>
                <c:pt idx="819">
                  <c:v>6721.2606060606186</c:v>
                </c:pt>
                <c:pt idx="820">
                  <c:v>6456.6545454545585</c:v>
                </c:pt>
                <c:pt idx="821">
                  <c:v>8345.636363636364</c:v>
                </c:pt>
                <c:pt idx="822">
                  <c:v>7492.4787878787702</c:v>
                </c:pt>
                <c:pt idx="823">
                  <c:v>6682.2289156626503</c:v>
                </c:pt>
                <c:pt idx="824">
                  <c:v>6606.7108433734929</c:v>
                </c:pt>
                <c:pt idx="825">
                  <c:v>6020.3915662650752</c:v>
                </c:pt>
                <c:pt idx="826">
                  <c:v>7451.3132530120483</c:v>
                </c:pt>
                <c:pt idx="827">
                  <c:v>6667.265060240964</c:v>
                </c:pt>
                <c:pt idx="828">
                  <c:v>8821.1204819277118</c:v>
                </c:pt>
                <c:pt idx="829">
                  <c:v>7085.9281437125755</c:v>
                </c:pt>
                <c:pt idx="830">
                  <c:v>5723.2514970059983</c:v>
                </c:pt>
                <c:pt idx="831">
                  <c:v>9380.625</c:v>
                </c:pt>
                <c:pt idx="832">
                  <c:v>6464.1065088757532</c:v>
                </c:pt>
                <c:pt idx="833">
                  <c:v>6822.3846153846125</c:v>
                </c:pt>
                <c:pt idx="834">
                  <c:v>7239.2307692307695</c:v>
                </c:pt>
                <c:pt idx="835">
                  <c:v>7191.8058823529418</c:v>
                </c:pt>
                <c:pt idx="836">
                  <c:v>6136</c:v>
                </c:pt>
                <c:pt idx="837">
                  <c:v>6793.4235294117816</c:v>
                </c:pt>
                <c:pt idx="838">
                  <c:v>7653.0764705882348</c:v>
                </c:pt>
                <c:pt idx="839">
                  <c:v>6947.6976744186159</c:v>
                </c:pt>
                <c:pt idx="840">
                  <c:v>6841.2209302325573</c:v>
                </c:pt>
                <c:pt idx="841">
                  <c:v>5721.7034883720826</c:v>
                </c:pt>
                <c:pt idx="842">
                  <c:v>6168</c:v>
                </c:pt>
                <c:pt idx="843">
                  <c:v>6825.0755813953483</c:v>
                </c:pt>
                <c:pt idx="844">
                  <c:v>6451.0872093023245</c:v>
                </c:pt>
                <c:pt idx="845">
                  <c:v>6418.5232558139533</c:v>
                </c:pt>
                <c:pt idx="846">
                  <c:v>7159.0523255814114</c:v>
                </c:pt>
                <c:pt idx="847">
                  <c:v>6035.5375722543295</c:v>
                </c:pt>
                <c:pt idx="848">
                  <c:v>7399.8728323699424</c:v>
                </c:pt>
                <c:pt idx="849">
                  <c:v>6095.9826589595414</c:v>
                </c:pt>
                <c:pt idx="850">
                  <c:v>6523.3410404624383</c:v>
                </c:pt>
                <c:pt idx="851">
                  <c:v>8963.0057803468208</c:v>
                </c:pt>
                <c:pt idx="852">
                  <c:v>7868.1321839080456</c:v>
                </c:pt>
                <c:pt idx="853">
                  <c:v>11500.137931034482</c:v>
                </c:pt>
                <c:pt idx="854">
                  <c:v>6445.8228571428563</c:v>
                </c:pt>
                <c:pt idx="855">
                  <c:v>8117.9428571428452</c:v>
                </c:pt>
                <c:pt idx="856">
                  <c:v>6232.3942857142874</c:v>
                </c:pt>
                <c:pt idx="857">
                  <c:v>7242.2000000000007</c:v>
                </c:pt>
                <c:pt idx="858">
                  <c:v>6556.8920454545614</c:v>
                </c:pt>
                <c:pt idx="859">
                  <c:v>6378.3068181818244</c:v>
                </c:pt>
                <c:pt idx="860">
                  <c:v>7653.727272727273</c:v>
                </c:pt>
                <c:pt idx="861">
                  <c:v>7128.8757062146888</c:v>
                </c:pt>
                <c:pt idx="862">
                  <c:v>7643.7288135593244</c:v>
                </c:pt>
                <c:pt idx="863">
                  <c:v>7217.4519774011314</c:v>
                </c:pt>
                <c:pt idx="864">
                  <c:v>7260.5280898876454</c:v>
                </c:pt>
                <c:pt idx="865">
                  <c:v>6449.9269662921351</c:v>
                </c:pt>
                <c:pt idx="866">
                  <c:v>6818.8426966292318</c:v>
                </c:pt>
                <c:pt idx="867">
                  <c:v>7483.2808988764045</c:v>
                </c:pt>
                <c:pt idx="868">
                  <c:v>6124.6629213483257</c:v>
                </c:pt>
                <c:pt idx="869">
                  <c:v>6438.1340782122907</c:v>
                </c:pt>
                <c:pt idx="870">
                  <c:v>7087.4860335195544</c:v>
                </c:pt>
                <c:pt idx="871">
                  <c:v>6337.1508379888273</c:v>
                </c:pt>
                <c:pt idx="872">
                  <c:v>6692.8882681564355</c:v>
                </c:pt>
                <c:pt idx="873">
                  <c:v>6625.8722222222223</c:v>
                </c:pt>
                <c:pt idx="874">
                  <c:v>6461.2166666666853</c:v>
                </c:pt>
                <c:pt idx="875">
                  <c:v>7185.6555555555715</c:v>
                </c:pt>
                <c:pt idx="876">
                  <c:v>7940.3646408839913</c:v>
                </c:pt>
                <c:pt idx="877">
                  <c:v>6756.629834254155</c:v>
                </c:pt>
                <c:pt idx="878">
                  <c:v>6639.2472527472428</c:v>
                </c:pt>
                <c:pt idx="879">
                  <c:v>6732.5659340659558</c:v>
                </c:pt>
                <c:pt idx="880">
                  <c:v>6767.2362637362639</c:v>
                </c:pt>
                <c:pt idx="881">
                  <c:v>6619.6758241758416</c:v>
                </c:pt>
                <c:pt idx="882">
                  <c:v>6709.7322404371644</c:v>
                </c:pt>
                <c:pt idx="883">
                  <c:v>6412.2717391304295</c:v>
                </c:pt>
                <c:pt idx="884">
                  <c:v>6552.3858695652343</c:v>
                </c:pt>
                <c:pt idx="885">
                  <c:v>7933.6195652174029</c:v>
                </c:pt>
                <c:pt idx="886">
                  <c:v>8596.9021739130203</c:v>
                </c:pt>
                <c:pt idx="887">
                  <c:v>6606.4756756756751</c:v>
                </c:pt>
                <c:pt idx="888">
                  <c:v>6855.8216216216488</c:v>
                </c:pt>
                <c:pt idx="889">
                  <c:v>6048.1827956989346</c:v>
                </c:pt>
                <c:pt idx="890">
                  <c:v>7031.6505376344094</c:v>
                </c:pt>
                <c:pt idx="891">
                  <c:v>6286.6363636363631</c:v>
                </c:pt>
                <c:pt idx="892">
                  <c:v>6181.8074866310162</c:v>
                </c:pt>
                <c:pt idx="893">
                  <c:v>5953.1657754010812</c:v>
                </c:pt>
                <c:pt idx="894">
                  <c:v>6055.2139037433135</c:v>
                </c:pt>
                <c:pt idx="895">
                  <c:v>7208.4438502673775</c:v>
                </c:pt>
                <c:pt idx="896">
                  <c:v>6243.2234042553291</c:v>
                </c:pt>
                <c:pt idx="897">
                  <c:v>6435.2074468085075</c:v>
                </c:pt>
                <c:pt idx="898">
                  <c:v>5825.5502645502866</c:v>
                </c:pt>
                <c:pt idx="899">
                  <c:v>6256.5578947368422</c:v>
                </c:pt>
                <c:pt idx="900">
                  <c:v>6272.5421052631673</c:v>
                </c:pt>
                <c:pt idx="901">
                  <c:v>7421.8315789473681</c:v>
                </c:pt>
                <c:pt idx="902">
                  <c:v>6133.2408376963285</c:v>
                </c:pt>
                <c:pt idx="903">
                  <c:v>6401.3612565445128</c:v>
                </c:pt>
                <c:pt idx="904">
                  <c:v>6245.5078534031418</c:v>
                </c:pt>
                <c:pt idx="905">
                  <c:v>6267.267015706806</c:v>
                </c:pt>
                <c:pt idx="906">
                  <c:v>8771.8429319371517</c:v>
                </c:pt>
                <c:pt idx="907">
                  <c:v>6722.8437499999991</c:v>
                </c:pt>
                <c:pt idx="908">
                  <c:v>7030.5885416666724</c:v>
                </c:pt>
                <c:pt idx="909">
                  <c:v>5674.7239583333285</c:v>
                </c:pt>
                <c:pt idx="910">
                  <c:v>7139.109375</c:v>
                </c:pt>
                <c:pt idx="911">
                  <c:v>7282.380208333333</c:v>
                </c:pt>
                <c:pt idx="912">
                  <c:v>7417.1197916666833</c:v>
                </c:pt>
                <c:pt idx="913">
                  <c:v>7438.7552083333339</c:v>
                </c:pt>
                <c:pt idx="914">
                  <c:v>8013.7291666666833</c:v>
                </c:pt>
                <c:pt idx="915">
                  <c:v>8611.2435233160886</c:v>
                </c:pt>
                <c:pt idx="916">
                  <c:v>7372.4922279792754</c:v>
                </c:pt>
                <c:pt idx="917">
                  <c:v>8331.6476683937908</c:v>
                </c:pt>
                <c:pt idx="918">
                  <c:v>5815.4587628865975</c:v>
                </c:pt>
                <c:pt idx="919">
                  <c:v>6529.7886597938141</c:v>
                </c:pt>
                <c:pt idx="920">
                  <c:v>5877.8350515463917</c:v>
                </c:pt>
                <c:pt idx="921">
                  <c:v>7018.3969072164946</c:v>
                </c:pt>
                <c:pt idx="922">
                  <c:v>6523.7025641025757</c:v>
                </c:pt>
                <c:pt idx="923">
                  <c:v>6816.4051282051314</c:v>
                </c:pt>
                <c:pt idx="924">
                  <c:v>7171.8974358974356</c:v>
                </c:pt>
                <c:pt idx="925">
                  <c:v>7369.6717948718115</c:v>
                </c:pt>
                <c:pt idx="926">
                  <c:v>5840.7999999999993</c:v>
                </c:pt>
                <c:pt idx="927">
                  <c:v>8486.5384615384846</c:v>
                </c:pt>
                <c:pt idx="928">
                  <c:v>6219.8469387755222</c:v>
                </c:pt>
                <c:pt idx="929">
                  <c:v>6531.5612244898266</c:v>
                </c:pt>
                <c:pt idx="930">
                  <c:v>8293.6040609137108</c:v>
                </c:pt>
                <c:pt idx="931">
                  <c:v>6059.5555555555657</c:v>
                </c:pt>
                <c:pt idx="932">
                  <c:v>7659.1565656565863</c:v>
                </c:pt>
                <c:pt idx="933">
                  <c:v>5589.0150753768849</c:v>
                </c:pt>
                <c:pt idx="934">
                  <c:v>6351.9346733668335</c:v>
                </c:pt>
                <c:pt idx="935">
                  <c:v>6451.9599999999991</c:v>
                </c:pt>
                <c:pt idx="936">
                  <c:v>6702.31</c:v>
                </c:pt>
                <c:pt idx="937">
                  <c:v>6187.8507462686557</c:v>
                </c:pt>
                <c:pt idx="938">
                  <c:v>7234.5990099009914</c:v>
                </c:pt>
                <c:pt idx="939">
                  <c:v>7493.0643564356442</c:v>
                </c:pt>
                <c:pt idx="940">
                  <c:v>5858.8217821782173</c:v>
                </c:pt>
                <c:pt idx="941">
                  <c:v>6189.1970443349755</c:v>
                </c:pt>
                <c:pt idx="942">
                  <c:v>6281.1477832512319</c:v>
                </c:pt>
                <c:pt idx="943">
                  <c:v>5708.6372549019634</c:v>
                </c:pt>
                <c:pt idx="944">
                  <c:v>7422.3823529411766</c:v>
                </c:pt>
                <c:pt idx="945">
                  <c:v>8425.8439024390245</c:v>
                </c:pt>
                <c:pt idx="946">
                  <c:v>7118.7718446601939</c:v>
                </c:pt>
                <c:pt idx="947">
                  <c:v>7570.6456310679851</c:v>
                </c:pt>
                <c:pt idx="948">
                  <c:v>6473.492753623188</c:v>
                </c:pt>
                <c:pt idx="949">
                  <c:v>6637.8695652174019</c:v>
                </c:pt>
                <c:pt idx="950">
                  <c:v>6235.7294685990437</c:v>
                </c:pt>
                <c:pt idx="951">
                  <c:v>6816.4830917874424</c:v>
                </c:pt>
                <c:pt idx="952">
                  <c:v>7071.6538461538603</c:v>
                </c:pt>
                <c:pt idx="953">
                  <c:v>7385.3317307692314</c:v>
                </c:pt>
                <c:pt idx="954">
                  <c:v>6838.4134615384619</c:v>
                </c:pt>
                <c:pt idx="955">
                  <c:v>6497.8229665071995</c:v>
                </c:pt>
                <c:pt idx="956">
                  <c:v>6846.7607655502434</c:v>
                </c:pt>
                <c:pt idx="957">
                  <c:v>6217.4832535885162</c:v>
                </c:pt>
                <c:pt idx="958">
                  <c:v>7133.5741626794252</c:v>
                </c:pt>
                <c:pt idx="959">
                  <c:v>7281.2952380952493</c:v>
                </c:pt>
                <c:pt idx="960">
                  <c:v>6714.5000000000009</c:v>
                </c:pt>
                <c:pt idx="961">
                  <c:v>8370.8857142856814</c:v>
                </c:pt>
                <c:pt idx="962">
                  <c:v>5966.3571428571422</c:v>
                </c:pt>
                <c:pt idx="963">
                  <c:v>6731.6966824644696</c:v>
                </c:pt>
                <c:pt idx="964">
                  <c:v>8178.7582938388605</c:v>
                </c:pt>
                <c:pt idx="965">
                  <c:v>6805.0094339622638</c:v>
                </c:pt>
                <c:pt idx="966">
                  <c:v>6163.2311320754734</c:v>
                </c:pt>
                <c:pt idx="967">
                  <c:v>6324.5094339622647</c:v>
                </c:pt>
                <c:pt idx="968">
                  <c:v>5442.0845070422465</c:v>
                </c:pt>
                <c:pt idx="969">
                  <c:v>6316.4976525821585</c:v>
                </c:pt>
                <c:pt idx="970">
                  <c:v>7966.4929577464682</c:v>
                </c:pt>
                <c:pt idx="971">
                  <c:v>8876.3004694835436</c:v>
                </c:pt>
                <c:pt idx="972">
                  <c:v>9007.7850467289718</c:v>
                </c:pt>
                <c:pt idx="973">
                  <c:v>6406.2790697674454</c:v>
                </c:pt>
                <c:pt idx="974">
                  <c:v>7068.7860465116382</c:v>
                </c:pt>
                <c:pt idx="975">
                  <c:v>6637.5185185185182</c:v>
                </c:pt>
                <c:pt idx="976">
                  <c:v>5983.8703703703695</c:v>
                </c:pt>
                <c:pt idx="977">
                  <c:v>6894.0324074074124</c:v>
                </c:pt>
                <c:pt idx="978">
                  <c:v>7806.7268518518631</c:v>
                </c:pt>
                <c:pt idx="979">
                  <c:v>7589.7129629629644</c:v>
                </c:pt>
                <c:pt idx="980">
                  <c:v>6196.7880184331798</c:v>
                </c:pt>
                <c:pt idx="981">
                  <c:v>6151.6359447004634</c:v>
                </c:pt>
                <c:pt idx="982">
                  <c:v>8449.3686635944396</c:v>
                </c:pt>
                <c:pt idx="983">
                  <c:v>6343.6605504587296</c:v>
                </c:pt>
                <c:pt idx="984">
                  <c:v>7073.9311926605496</c:v>
                </c:pt>
                <c:pt idx="985">
                  <c:v>5910.1376146789034</c:v>
                </c:pt>
                <c:pt idx="986">
                  <c:v>6641.3807339449495</c:v>
                </c:pt>
                <c:pt idx="987">
                  <c:v>7016.0779816513759</c:v>
                </c:pt>
                <c:pt idx="988">
                  <c:v>6213.2831050228315</c:v>
                </c:pt>
                <c:pt idx="989">
                  <c:v>6136.6529680365411</c:v>
                </c:pt>
                <c:pt idx="990">
                  <c:v>6657.2237442922369</c:v>
                </c:pt>
                <c:pt idx="991">
                  <c:v>6244.7818181818184</c:v>
                </c:pt>
                <c:pt idx="992">
                  <c:v>6511.4886877827985</c:v>
                </c:pt>
                <c:pt idx="993">
                  <c:v>6418.4208144796503</c:v>
                </c:pt>
                <c:pt idx="994">
                  <c:v>7079.5022624434532</c:v>
                </c:pt>
                <c:pt idx="995">
                  <c:v>7164.0090497737683</c:v>
                </c:pt>
                <c:pt idx="996">
                  <c:v>8068.5158371040725</c:v>
                </c:pt>
                <c:pt idx="997">
                  <c:v>6778.1809954751279</c:v>
                </c:pt>
                <c:pt idx="998">
                  <c:v>7217.9276018099554</c:v>
                </c:pt>
                <c:pt idx="999">
                  <c:v>8867.9230769230671</c:v>
                </c:pt>
                <c:pt idx="1000">
                  <c:v>8339.3981900452236</c:v>
                </c:pt>
                <c:pt idx="1001">
                  <c:v>6165.5765765765873</c:v>
                </c:pt>
                <c:pt idx="1002">
                  <c:v>6262.2072072072078</c:v>
                </c:pt>
                <c:pt idx="1003">
                  <c:v>6798.7297297297409</c:v>
                </c:pt>
                <c:pt idx="1004">
                  <c:v>6647.22972972974</c:v>
                </c:pt>
                <c:pt idx="1005">
                  <c:v>8035.0585585585604</c:v>
                </c:pt>
                <c:pt idx="1006">
                  <c:v>6602.1936936936954</c:v>
                </c:pt>
                <c:pt idx="1007">
                  <c:v>6881.1036036036157</c:v>
                </c:pt>
                <c:pt idx="1008">
                  <c:v>7221.4684684684744</c:v>
                </c:pt>
                <c:pt idx="1009">
                  <c:v>6336.9237668161395</c:v>
                </c:pt>
                <c:pt idx="1010">
                  <c:v>6287.9237668161395</c:v>
                </c:pt>
                <c:pt idx="1011">
                  <c:v>6915.5</c:v>
                </c:pt>
                <c:pt idx="1012">
                  <c:v>7650.7321428571431</c:v>
                </c:pt>
                <c:pt idx="1013">
                  <c:v>6437.7333333333227</c:v>
                </c:pt>
                <c:pt idx="1014">
                  <c:v>6586.6133333333328</c:v>
                </c:pt>
                <c:pt idx="1015">
                  <c:v>6729.1111111111231</c:v>
                </c:pt>
                <c:pt idx="1016">
                  <c:v>5862.7155555555664</c:v>
                </c:pt>
                <c:pt idx="1017">
                  <c:v>6228.0177777777772</c:v>
                </c:pt>
                <c:pt idx="1018">
                  <c:v>6582.7522123893814</c:v>
                </c:pt>
                <c:pt idx="1019">
                  <c:v>6705.9380530973385</c:v>
                </c:pt>
                <c:pt idx="1020">
                  <c:v>8229.1814159292044</c:v>
                </c:pt>
                <c:pt idx="1021">
                  <c:v>6134.6769911504434</c:v>
                </c:pt>
                <c:pt idx="1022">
                  <c:v>7042.9074889867716</c:v>
                </c:pt>
                <c:pt idx="1023">
                  <c:v>6806.7488986784065</c:v>
                </c:pt>
                <c:pt idx="1024">
                  <c:v>7783.6607929515412</c:v>
                </c:pt>
                <c:pt idx="1025">
                  <c:v>5839.1674008810614</c:v>
                </c:pt>
                <c:pt idx="1026">
                  <c:v>6695.4008810572714</c:v>
                </c:pt>
                <c:pt idx="1027">
                  <c:v>6218.8026315789693</c:v>
                </c:pt>
                <c:pt idx="1028">
                  <c:v>6505.7763157894715</c:v>
                </c:pt>
                <c:pt idx="1029">
                  <c:v>6923.7719298245611</c:v>
                </c:pt>
                <c:pt idx="1030">
                  <c:v>7031.6986899563344</c:v>
                </c:pt>
                <c:pt idx="1031">
                  <c:v>7143.1441048035049</c:v>
                </c:pt>
                <c:pt idx="1032">
                  <c:v>8501.9737991266375</c:v>
                </c:pt>
                <c:pt idx="1033">
                  <c:v>5871.0873362445309</c:v>
                </c:pt>
                <c:pt idx="1034">
                  <c:v>7606.755458515283</c:v>
                </c:pt>
                <c:pt idx="1035">
                  <c:v>6642.4173913043351</c:v>
                </c:pt>
                <c:pt idx="1036">
                  <c:v>8406.6782608695648</c:v>
                </c:pt>
                <c:pt idx="1037">
                  <c:v>5884.5260869565254</c:v>
                </c:pt>
                <c:pt idx="1038">
                  <c:v>7332.456521739141</c:v>
                </c:pt>
                <c:pt idx="1039">
                  <c:v>6620.3030303030309</c:v>
                </c:pt>
                <c:pt idx="1040">
                  <c:v>5951.4077253218875</c:v>
                </c:pt>
                <c:pt idx="1041">
                  <c:v>7103.1974248927054</c:v>
                </c:pt>
                <c:pt idx="1042">
                  <c:v>5407.4334763948391</c:v>
                </c:pt>
                <c:pt idx="1043">
                  <c:v>5929.6437768240285</c:v>
                </c:pt>
                <c:pt idx="1044">
                  <c:v>7177.2618025751144</c:v>
                </c:pt>
                <c:pt idx="1045">
                  <c:v>6894.4871794871824</c:v>
                </c:pt>
                <c:pt idx="1046">
                  <c:v>7014.9829787234039</c:v>
                </c:pt>
                <c:pt idx="1047">
                  <c:v>6639.8553191489355</c:v>
                </c:pt>
                <c:pt idx="1048">
                  <c:v>7167.9446808510638</c:v>
                </c:pt>
                <c:pt idx="1049">
                  <c:v>7445.8085106382978</c:v>
                </c:pt>
                <c:pt idx="1050">
                  <c:v>6563.8389830508504</c:v>
                </c:pt>
                <c:pt idx="1051">
                  <c:v>6851.0084745762724</c:v>
                </c:pt>
                <c:pt idx="1052">
                  <c:v>6749.1864406779823</c:v>
                </c:pt>
                <c:pt idx="1053">
                  <c:v>7742.2838983050706</c:v>
                </c:pt>
                <c:pt idx="1054">
                  <c:v>6553.5654008438823</c:v>
                </c:pt>
                <c:pt idx="1055">
                  <c:v>7542.658227848101</c:v>
                </c:pt>
                <c:pt idx="1056">
                  <c:v>6147.649789029535</c:v>
                </c:pt>
                <c:pt idx="1057">
                  <c:v>6471.9705882352846</c:v>
                </c:pt>
                <c:pt idx="1058">
                  <c:v>5830.3277310924359</c:v>
                </c:pt>
                <c:pt idx="1059">
                  <c:v>6266.042016806723</c:v>
                </c:pt>
                <c:pt idx="1060">
                  <c:v>6671.0251046025242</c:v>
                </c:pt>
                <c:pt idx="1061">
                  <c:v>7136.6610878661104</c:v>
                </c:pt>
                <c:pt idx="1062">
                  <c:v>7051.7740585774063</c:v>
                </c:pt>
                <c:pt idx="1063">
                  <c:v>6274.9166666666833</c:v>
                </c:pt>
                <c:pt idx="1064">
                  <c:v>6094.3983402489575</c:v>
                </c:pt>
                <c:pt idx="1065">
                  <c:v>6580.6033057851237</c:v>
                </c:pt>
                <c:pt idx="1066">
                  <c:v>6421.1528925620041</c:v>
                </c:pt>
                <c:pt idx="1067">
                  <c:v>6810.6487603305786</c:v>
                </c:pt>
                <c:pt idx="1068">
                  <c:v>6131.8114754098533</c:v>
                </c:pt>
                <c:pt idx="1069">
                  <c:v>8660.1061224489549</c:v>
                </c:pt>
                <c:pt idx="1070">
                  <c:v>9741.5387755102129</c:v>
                </c:pt>
                <c:pt idx="1071">
                  <c:v>6311.4837398373975</c:v>
                </c:pt>
                <c:pt idx="1072">
                  <c:v>6426.7276422764226</c:v>
                </c:pt>
                <c:pt idx="1073">
                  <c:v>7958.121951219523</c:v>
                </c:pt>
                <c:pt idx="1074">
                  <c:v>6274.1376518218622</c:v>
                </c:pt>
                <c:pt idx="1075">
                  <c:v>7201.7206477732834</c:v>
                </c:pt>
                <c:pt idx="1076">
                  <c:v>7432.6518218623632</c:v>
                </c:pt>
                <c:pt idx="1077">
                  <c:v>8411.8266129031999</c:v>
                </c:pt>
                <c:pt idx="1078">
                  <c:v>7200.1927710843493</c:v>
                </c:pt>
                <c:pt idx="1079">
                  <c:v>7884.7751004016154</c:v>
                </c:pt>
                <c:pt idx="1080">
                  <c:v>6719.9960000000001</c:v>
                </c:pt>
                <c:pt idx="1081">
                  <c:v>7201.924</c:v>
                </c:pt>
                <c:pt idx="1082">
                  <c:v>5885.7848605577801</c:v>
                </c:pt>
                <c:pt idx="1083">
                  <c:v>6534.2908366533984</c:v>
                </c:pt>
                <c:pt idx="1084">
                  <c:v>6791.2460317460318</c:v>
                </c:pt>
                <c:pt idx="1085">
                  <c:v>8922.6798418972339</c:v>
                </c:pt>
                <c:pt idx="1086">
                  <c:v>7837.2964426877534</c:v>
                </c:pt>
                <c:pt idx="1087">
                  <c:v>5966.6968503937014</c:v>
                </c:pt>
                <c:pt idx="1088">
                  <c:v>7396.9094488188966</c:v>
                </c:pt>
                <c:pt idx="1089">
                  <c:v>7128.4881889763765</c:v>
                </c:pt>
                <c:pt idx="1090">
                  <c:v>6448.6929133858384</c:v>
                </c:pt>
                <c:pt idx="1091">
                  <c:v>6143.8818897637902</c:v>
                </c:pt>
                <c:pt idx="1092">
                  <c:v>7001</c:v>
                </c:pt>
                <c:pt idx="1093">
                  <c:v>6663.1058823529402</c:v>
                </c:pt>
                <c:pt idx="1094">
                  <c:v>6513.5294117647154</c:v>
                </c:pt>
                <c:pt idx="1095">
                  <c:v>6688.105882352942</c:v>
                </c:pt>
                <c:pt idx="1096">
                  <c:v>5579.4</c:v>
                </c:pt>
                <c:pt idx="1097">
                  <c:v>5768.8901960784324</c:v>
                </c:pt>
                <c:pt idx="1098">
                  <c:v>6560.9137254901962</c:v>
                </c:pt>
                <c:pt idx="1099">
                  <c:v>6758.7578124999991</c:v>
                </c:pt>
                <c:pt idx="1100">
                  <c:v>6989.16796875001</c:v>
                </c:pt>
                <c:pt idx="1101">
                  <c:v>6290.5680933852154</c:v>
                </c:pt>
                <c:pt idx="1102">
                  <c:v>6156.2140077821005</c:v>
                </c:pt>
                <c:pt idx="1103">
                  <c:v>5960.8100775193834</c:v>
                </c:pt>
                <c:pt idx="1104">
                  <c:v>5770.2015503875982</c:v>
                </c:pt>
                <c:pt idx="1105">
                  <c:v>6000.4923076923069</c:v>
                </c:pt>
                <c:pt idx="1106">
                  <c:v>8588.011538461531</c:v>
                </c:pt>
                <c:pt idx="1107">
                  <c:v>6641.9576923076875</c:v>
                </c:pt>
                <c:pt idx="1108">
                  <c:v>6977.2950191570944</c:v>
                </c:pt>
                <c:pt idx="1109">
                  <c:v>6215.7471264367823</c:v>
                </c:pt>
                <c:pt idx="1110">
                  <c:v>6775.5190839694724</c:v>
                </c:pt>
                <c:pt idx="1111">
                  <c:v>7751.2328244274931</c:v>
                </c:pt>
                <c:pt idx="1112">
                  <c:v>5818.2889733840275</c:v>
                </c:pt>
                <c:pt idx="1113">
                  <c:v>6286.3612167300444</c:v>
                </c:pt>
                <c:pt idx="1114">
                  <c:v>6596.2547528517116</c:v>
                </c:pt>
                <c:pt idx="1115">
                  <c:v>6057.8859315589516</c:v>
                </c:pt>
                <c:pt idx="1116">
                  <c:v>5629.3939393939454</c:v>
                </c:pt>
                <c:pt idx="1117">
                  <c:v>6397.3484848484795</c:v>
                </c:pt>
                <c:pt idx="1118">
                  <c:v>5855.5773584905564</c:v>
                </c:pt>
                <c:pt idx="1119">
                  <c:v>5734.0150943396338</c:v>
                </c:pt>
                <c:pt idx="1120">
                  <c:v>6090.9924812030094</c:v>
                </c:pt>
                <c:pt idx="1121">
                  <c:v>8467.3108614231987</c:v>
                </c:pt>
                <c:pt idx="1122">
                  <c:v>6001.0335820895516</c:v>
                </c:pt>
                <c:pt idx="1123">
                  <c:v>6501.1115241635962</c:v>
                </c:pt>
                <c:pt idx="1124">
                  <c:v>6540.2936802973982</c:v>
                </c:pt>
                <c:pt idx="1125">
                  <c:v>6319.9777777777672</c:v>
                </c:pt>
                <c:pt idx="1126">
                  <c:v>7938.9409594095941</c:v>
                </c:pt>
                <c:pt idx="1127">
                  <c:v>6363.3455882352946</c:v>
                </c:pt>
                <c:pt idx="1128">
                  <c:v>6949.8235294117867</c:v>
                </c:pt>
                <c:pt idx="1129">
                  <c:v>6052.9338235294126</c:v>
                </c:pt>
                <c:pt idx="1130">
                  <c:v>6237.5735294117767</c:v>
                </c:pt>
                <c:pt idx="1131">
                  <c:v>7213.6996336996517</c:v>
                </c:pt>
                <c:pt idx="1132">
                  <c:v>6020.6167883211683</c:v>
                </c:pt>
                <c:pt idx="1133">
                  <c:v>8679.9781021897816</c:v>
                </c:pt>
                <c:pt idx="1134">
                  <c:v>5744.0800000000008</c:v>
                </c:pt>
                <c:pt idx="1135">
                  <c:v>6248.5200000000013</c:v>
                </c:pt>
                <c:pt idx="1136">
                  <c:v>5503.647272727273</c:v>
                </c:pt>
                <c:pt idx="1137">
                  <c:v>7543.2618181818234</c:v>
                </c:pt>
                <c:pt idx="1138">
                  <c:v>6004.9239130434789</c:v>
                </c:pt>
                <c:pt idx="1139">
                  <c:v>5857.507246376812</c:v>
                </c:pt>
                <c:pt idx="1140">
                  <c:v>5669.6195652174029</c:v>
                </c:pt>
                <c:pt idx="1141">
                  <c:v>5978.93115942029</c:v>
                </c:pt>
                <c:pt idx="1142">
                  <c:v>7391.173913043478</c:v>
                </c:pt>
                <c:pt idx="1143">
                  <c:v>6354.5703971119065</c:v>
                </c:pt>
                <c:pt idx="1144">
                  <c:v>6363.7877697841705</c:v>
                </c:pt>
                <c:pt idx="1145">
                  <c:v>6175.4587813619992</c:v>
                </c:pt>
                <c:pt idx="1146">
                  <c:v>6077.2035714285712</c:v>
                </c:pt>
                <c:pt idx="1147">
                  <c:v>6417.3428571428576</c:v>
                </c:pt>
                <c:pt idx="1148">
                  <c:v>5714.0857142857149</c:v>
                </c:pt>
                <c:pt idx="1149">
                  <c:v>6271.8607142857154</c:v>
                </c:pt>
                <c:pt idx="1150">
                  <c:v>6495.9430604982199</c:v>
                </c:pt>
                <c:pt idx="1151">
                  <c:v>6168.4590747330949</c:v>
                </c:pt>
                <c:pt idx="1152">
                  <c:v>7701.3024911032044</c:v>
                </c:pt>
                <c:pt idx="1153">
                  <c:v>5307.765124555186</c:v>
                </c:pt>
                <c:pt idx="1154">
                  <c:v>6276.2206405694114</c:v>
                </c:pt>
                <c:pt idx="1155">
                  <c:v>7906.5319148936214</c:v>
                </c:pt>
                <c:pt idx="1156">
                  <c:v>9250.9611307420255</c:v>
                </c:pt>
                <c:pt idx="1157">
                  <c:v>5745.7570422535218</c:v>
                </c:pt>
                <c:pt idx="1158">
                  <c:v>6562.7535211267614</c:v>
                </c:pt>
                <c:pt idx="1159">
                  <c:v>6063.818181818182</c:v>
                </c:pt>
                <c:pt idx="1160">
                  <c:v>6383.0629370629513</c:v>
                </c:pt>
                <c:pt idx="1161">
                  <c:v>6034.552083333333</c:v>
                </c:pt>
                <c:pt idx="1162">
                  <c:v>8435.2534722222426</c:v>
                </c:pt>
                <c:pt idx="1163">
                  <c:v>8397.0381944444161</c:v>
                </c:pt>
                <c:pt idx="1164">
                  <c:v>7739.4948096885819</c:v>
                </c:pt>
                <c:pt idx="1165">
                  <c:v>5462.0137931034478</c:v>
                </c:pt>
                <c:pt idx="1166">
                  <c:v>5966.7482758620699</c:v>
                </c:pt>
                <c:pt idx="1167">
                  <c:v>6157.4482758620688</c:v>
                </c:pt>
                <c:pt idx="1168">
                  <c:v>5488.4398625429485</c:v>
                </c:pt>
                <c:pt idx="1169">
                  <c:v>6273.1374570446606</c:v>
                </c:pt>
                <c:pt idx="1170">
                  <c:v>6671.6185567010334</c:v>
                </c:pt>
                <c:pt idx="1171">
                  <c:v>7313.9587628865975</c:v>
                </c:pt>
                <c:pt idx="1172">
                  <c:v>7364.9759450171805</c:v>
                </c:pt>
                <c:pt idx="1173">
                  <c:v>6380.4897260273974</c:v>
                </c:pt>
                <c:pt idx="1174">
                  <c:v>5318.4589041095924</c:v>
                </c:pt>
                <c:pt idx="1175">
                  <c:v>6588.1945392491534</c:v>
                </c:pt>
                <c:pt idx="1176">
                  <c:v>6448.4914675767914</c:v>
                </c:pt>
                <c:pt idx="1177">
                  <c:v>6557.9931740614438</c:v>
                </c:pt>
                <c:pt idx="1178">
                  <c:v>6684.2832764505229</c:v>
                </c:pt>
                <c:pt idx="1179">
                  <c:v>7130.242320819114</c:v>
                </c:pt>
                <c:pt idx="1180">
                  <c:v>8110.6360544217832</c:v>
                </c:pt>
                <c:pt idx="1181">
                  <c:v>5657.6564625850497</c:v>
                </c:pt>
                <c:pt idx="1182">
                  <c:v>6864.1802721088434</c:v>
                </c:pt>
                <c:pt idx="1183">
                  <c:v>6802.0476190476193</c:v>
                </c:pt>
                <c:pt idx="1184">
                  <c:v>6775.1661016949365</c:v>
                </c:pt>
                <c:pt idx="1185">
                  <c:v>6200.9932659932674</c:v>
                </c:pt>
                <c:pt idx="1186">
                  <c:v>6861.6195286195452</c:v>
                </c:pt>
                <c:pt idx="1187">
                  <c:v>5791.5117845117948</c:v>
                </c:pt>
                <c:pt idx="1188">
                  <c:v>6179.8686868686964</c:v>
                </c:pt>
                <c:pt idx="1189">
                  <c:v>6409.4814814814854</c:v>
                </c:pt>
                <c:pt idx="1190">
                  <c:v>6981.5622895623101</c:v>
                </c:pt>
                <c:pt idx="1191">
                  <c:v>6057.5033557046872</c:v>
                </c:pt>
                <c:pt idx="1192">
                  <c:v>6405.8724832214757</c:v>
                </c:pt>
                <c:pt idx="1193">
                  <c:v>6455.0805369127511</c:v>
                </c:pt>
                <c:pt idx="1194">
                  <c:v>6927.5919732441471</c:v>
                </c:pt>
                <c:pt idx="1195">
                  <c:v>6485.7566666666853</c:v>
                </c:pt>
                <c:pt idx="1196">
                  <c:v>7343.7633333333315</c:v>
                </c:pt>
                <c:pt idx="1197">
                  <c:v>5938.1827242525051</c:v>
                </c:pt>
                <c:pt idx="1198">
                  <c:v>6498.3521594684562</c:v>
                </c:pt>
                <c:pt idx="1199">
                  <c:v>6889.5215946843955</c:v>
                </c:pt>
                <c:pt idx="1200">
                  <c:v>6019.4105960264897</c:v>
                </c:pt>
                <c:pt idx="1201">
                  <c:v>6936.6864686468634</c:v>
                </c:pt>
                <c:pt idx="1202">
                  <c:v>6578.2475247524753</c:v>
                </c:pt>
                <c:pt idx="1203">
                  <c:v>6871.3651315789702</c:v>
                </c:pt>
                <c:pt idx="1204">
                  <c:v>6374.5704918032834</c:v>
                </c:pt>
                <c:pt idx="1205">
                  <c:v>5868.7817589576525</c:v>
                </c:pt>
                <c:pt idx="1206">
                  <c:v>6048.1205211726592</c:v>
                </c:pt>
                <c:pt idx="1207">
                  <c:v>6090.5244299674423</c:v>
                </c:pt>
                <c:pt idx="1208">
                  <c:v>5797.4657980456022</c:v>
                </c:pt>
                <c:pt idx="1209">
                  <c:v>6268.227272727273</c:v>
                </c:pt>
                <c:pt idx="1210">
                  <c:v>5614.9610389610434</c:v>
                </c:pt>
                <c:pt idx="1211">
                  <c:v>6566.9610389610434</c:v>
                </c:pt>
                <c:pt idx="1212">
                  <c:v>5761.0614886731501</c:v>
                </c:pt>
                <c:pt idx="1213">
                  <c:v>7595.5339805825215</c:v>
                </c:pt>
                <c:pt idx="1214">
                  <c:v>7219.9061488673133</c:v>
                </c:pt>
                <c:pt idx="1215">
                  <c:v>5852.4290322580637</c:v>
                </c:pt>
                <c:pt idx="1216">
                  <c:v>6249.3858520900285</c:v>
                </c:pt>
                <c:pt idx="1217">
                  <c:v>7276.0643086816744</c:v>
                </c:pt>
                <c:pt idx="1218">
                  <c:v>6813.2564102564102</c:v>
                </c:pt>
                <c:pt idx="1219">
                  <c:v>6602.0769230769329</c:v>
                </c:pt>
                <c:pt idx="1220">
                  <c:v>7626.0416666666833</c:v>
                </c:pt>
                <c:pt idx="1221">
                  <c:v>6908.6293929712474</c:v>
                </c:pt>
                <c:pt idx="1222">
                  <c:v>6645.4121405750902</c:v>
                </c:pt>
                <c:pt idx="1223">
                  <c:v>5488.4681528662395</c:v>
                </c:pt>
                <c:pt idx="1224">
                  <c:v>5218.9365079364961</c:v>
                </c:pt>
                <c:pt idx="1225">
                  <c:v>5991.0063492063491</c:v>
                </c:pt>
                <c:pt idx="1226">
                  <c:v>5995.2952380952493</c:v>
                </c:pt>
                <c:pt idx="1227">
                  <c:v>6099.00634920635</c:v>
                </c:pt>
                <c:pt idx="1228">
                  <c:v>6039.0443037974683</c:v>
                </c:pt>
                <c:pt idx="1229">
                  <c:v>6581.9303797468265</c:v>
                </c:pt>
                <c:pt idx="1230">
                  <c:v>6098.8164556962029</c:v>
                </c:pt>
                <c:pt idx="1231">
                  <c:v>5915.8958990536403</c:v>
                </c:pt>
                <c:pt idx="1232">
                  <c:v>6526.83596214511</c:v>
                </c:pt>
                <c:pt idx="1233">
                  <c:v>6371.5377358490441</c:v>
                </c:pt>
                <c:pt idx="1234">
                  <c:v>6978.6509433962274</c:v>
                </c:pt>
                <c:pt idx="1235">
                  <c:v>5618.2169811320755</c:v>
                </c:pt>
                <c:pt idx="1236">
                  <c:v>5896.5172413793134</c:v>
                </c:pt>
                <c:pt idx="1237">
                  <c:v>6919.5611285266623</c:v>
                </c:pt>
                <c:pt idx="1238">
                  <c:v>6993.953125</c:v>
                </c:pt>
                <c:pt idx="1239">
                  <c:v>5991.4049844236824</c:v>
                </c:pt>
                <c:pt idx="1240">
                  <c:v>8124.0311526479745</c:v>
                </c:pt>
                <c:pt idx="1241">
                  <c:v>6249.9006211180122</c:v>
                </c:pt>
                <c:pt idx="1242">
                  <c:v>6983.7546583850926</c:v>
                </c:pt>
                <c:pt idx="1243">
                  <c:v>6510.8074534161487</c:v>
                </c:pt>
                <c:pt idx="1244">
                  <c:v>6529.585139318885</c:v>
                </c:pt>
                <c:pt idx="1245">
                  <c:v>5895.0402476780182</c:v>
                </c:pt>
                <c:pt idx="1246">
                  <c:v>5870.1331269349848</c:v>
                </c:pt>
                <c:pt idx="1247">
                  <c:v>6061.0092592592682</c:v>
                </c:pt>
                <c:pt idx="1248">
                  <c:v>6715.0123456790134</c:v>
                </c:pt>
                <c:pt idx="1249">
                  <c:v>7086.2376543209866</c:v>
                </c:pt>
                <c:pt idx="1250">
                  <c:v>5742.1759259259334</c:v>
                </c:pt>
                <c:pt idx="1251">
                  <c:v>5801.8333333333285</c:v>
                </c:pt>
                <c:pt idx="1252">
                  <c:v>5589.0184615384624</c:v>
                </c:pt>
                <c:pt idx="1253">
                  <c:v>7784.0276923076954</c:v>
                </c:pt>
                <c:pt idx="1254">
                  <c:v>6244.8711656441719</c:v>
                </c:pt>
                <c:pt idx="1255">
                  <c:v>6497.5504587155974</c:v>
                </c:pt>
                <c:pt idx="1256">
                  <c:v>5730.3536585365855</c:v>
                </c:pt>
                <c:pt idx="1257">
                  <c:v>6446.1951219512412</c:v>
                </c:pt>
                <c:pt idx="1258">
                  <c:v>6804.3810975609867</c:v>
                </c:pt>
                <c:pt idx="1259">
                  <c:v>5756.5579268292704</c:v>
                </c:pt>
                <c:pt idx="1260">
                  <c:v>6427.2530487804879</c:v>
                </c:pt>
                <c:pt idx="1261">
                  <c:v>7212.2439024390205</c:v>
                </c:pt>
                <c:pt idx="1262">
                  <c:v>6675.5835866261395</c:v>
                </c:pt>
                <c:pt idx="1263">
                  <c:v>6800.8814589665635</c:v>
                </c:pt>
                <c:pt idx="1264">
                  <c:v>8043.2644376899734</c:v>
                </c:pt>
                <c:pt idx="1265">
                  <c:v>5854.0606060606233</c:v>
                </c:pt>
                <c:pt idx="1266">
                  <c:v>6961.5424242424242</c:v>
                </c:pt>
                <c:pt idx="1267">
                  <c:v>7017.2575757575814</c:v>
                </c:pt>
                <c:pt idx="1268">
                  <c:v>5774.413897280966</c:v>
                </c:pt>
                <c:pt idx="1269">
                  <c:v>5657.9879518072285</c:v>
                </c:pt>
                <c:pt idx="1270">
                  <c:v>6303.1054216867633</c:v>
                </c:pt>
                <c:pt idx="1271">
                  <c:v>6732.5481927710825</c:v>
                </c:pt>
                <c:pt idx="1272">
                  <c:v>5869.132132132132</c:v>
                </c:pt>
                <c:pt idx="1273">
                  <c:v>6276.9550898203588</c:v>
                </c:pt>
                <c:pt idx="1274">
                  <c:v>5373.5958083832338</c:v>
                </c:pt>
                <c:pt idx="1275">
                  <c:v>5868.5598802395207</c:v>
                </c:pt>
                <c:pt idx="1276">
                  <c:v>5455.6268656716629</c:v>
                </c:pt>
                <c:pt idx="1277">
                  <c:v>6295.3761194029967</c:v>
                </c:pt>
                <c:pt idx="1278">
                  <c:v>6186.7020648967655</c:v>
                </c:pt>
                <c:pt idx="1279">
                  <c:v>5782.1179941003065</c:v>
                </c:pt>
                <c:pt idx="1280">
                  <c:v>5954.7787610619534</c:v>
                </c:pt>
                <c:pt idx="1281">
                  <c:v>7410.0678466076724</c:v>
                </c:pt>
                <c:pt idx="1282">
                  <c:v>6958.9882352941186</c:v>
                </c:pt>
                <c:pt idx="1283">
                  <c:v>6392.718475073314</c:v>
                </c:pt>
                <c:pt idx="1284">
                  <c:v>5728.5337243401664</c:v>
                </c:pt>
                <c:pt idx="1285">
                  <c:v>5951.0410557184705</c:v>
                </c:pt>
                <c:pt idx="1286">
                  <c:v>5788.5555555555666</c:v>
                </c:pt>
                <c:pt idx="1287">
                  <c:v>7468.7076023391719</c:v>
                </c:pt>
                <c:pt idx="1288">
                  <c:v>5705.8742690058643</c:v>
                </c:pt>
                <c:pt idx="1289">
                  <c:v>5843.4327485380009</c:v>
                </c:pt>
                <c:pt idx="1290">
                  <c:v>5674.5568513119524</c:v>
                </c:pt>
                <c:pt idx="1291">
                  <c:v>6392.8950437317844</c:v>
                </c:pt>
                <c:pt idx="1292">
                  <c:v>6699.4664723032074</c:v>
                </c:pt>
                <c:pt idx="1293">
                  <c:v>6070.3575581395335</c:v>
                </c:pt>
                <c:pt idx="1294">
                  <c:v>7094.4289855072457</c:v>
                </c:pt>
                <c:pt idx="1295">
                  <c:v>7689.7572254335355</c:v>
                </c:pt>
                <c:pt idx="1296">
                  <c:v>6506.1358381502914</c:v>
                </c:pt>
                <c:pt idx="1297">
                  <c:v>6559.5360230547667</c:v>
                </c:pt>
                <c:pt idx="1298">
                  <c:v>6404.8357348703184</c:v>
                </c:pt>
                <c:pt idx="1299">
                  <c:v>6129.959654178675</c:v>
                </c:pt>
                <c:pt idx="1300">
                  <c:v>5968.8275862069004</c:v>
                </c:pt>
                <c:pt idx="1301">
                  <c:v>6448.1637931034593</c:v>
                </c:pt>
                <c:pt idx="1302">
                  <c:v>7470.1350574712642</c:v>
                </c:pt>
                <c:pt idx="1303">
                  <c:v>6335.9169054441263</c:v>
                </c:pt>
                <c:pt idx="1304">
                  <c:v>6125.1289398280824</c:v>
                </c:pt>
                <c:pt idx="1305">
                  <c:v>6342.7421203438444</c:v>
                </c:pt>
                <c:pt idx="1306">
                  <c:v>6537.237822349558</c:v>
                </c:pt>
                <c:pt idx="1307">
                  <c:v>6054.6942857142858</c:v>
                </c:pt>
                <c:pt idx="1308">
                  <c:v>5819.6353276353284</c:v>
                </c:pt>
                <c:pt idx="1309">
                  <c:v>6321.9658119658134</c:v>
                </c:pt>
                <c:pt idx="1310">
                  <c:v>7189.9629629629644</c:v>
                </c:pt>
                <c:pt idx="1311">
                  <c:v>5305.3475783475787</c:v>
                </c:pt>
                <c:pt idx="1312">
                  <c:v>5671.2022792022844</c:v>
                </c:pt>
                <c:pt idx="1313">
                  <c:v>5782.8068181818244</c:v>
                </c:pt>
                <c:pt idx="1314">
                  <c:v>6140.7982954545596</c:v>
                </c:pt>
                <c:pt idx="1315">
                  <c:v>8321.5596590908881</c:v>
                </c:pt>
                <c:pt idx="1316">
                  <c:v>5838.3087818696904</c:v>
                </c:pt>
                <c:pt idx="1317">
                  <c:v>6111.7648725212484</c:v>
                </c:pt>
                <c:pt idx="1318">
                  <c:v>5928.4830508474461</c:v>
                </c:pt>
                <c:pt idx="1319">
                  <c:v>7056.8728813559428</c:v>
                </c:pt>
                <c:pt idx="1320">
                  <c:v>7043.7711864406774</c:v>
                </c:pt>
                <c:pt idx="1321">
                  <c:v>6078.3746478873245</c:v>
                </c:pt>
                <c:pt idx="1322">
                  <c:v>6607.1207865168544</c:v>
                </c:pt>
                <c:pt idx="1323">
                  <c:v>7892.7752808988762</c:v>
                </c:pt>
                <c:pt idx="1324">
                  <c:v>6235.556179775298</c:v>
                </c:pt>
                <c:pt idx="1325">
                  <c:v>6098.1344537815121</c:v>
                </c:pt>
                <c:pt idx="1326">
                  <c:v>6153.2380952380727</c:v>
                </c:pt>
                <c:pt idx="1327">
                  <c:v>6195.518207282913</c:v>
                </c:pt>
                <c:pt idx="1328">
                  <c:v>6179.4134078212192</c:v>
                </c:pt>
                <c:pt idx="1329">
                  <c:v>5574.5586592178834</c:v>
                </c:pt>
                <c:pt idx="1330">
                  <c:v>6814.4986072423289</c:v>
                </c:pt>
                <c:pt idx="1331">
                  <c:v>7172.2861111111124</c:v>
                </c:pt>
                <c:pt idx="1332">
                  <c:v>6634.4611111111144</c:v>
                </c:pt>
                <c:pt idx="1333">
                  <c:v>7695.9196675900284</c:v>
                </c:pt>
                <c:pt idx="1334">
                  <c:v>5909.1988950276245</c:v>
                </c:pt>
                <c:pt idx="1335">
                  <c:v>6429.4972375690613</c:v>
                </c:pt>
                <c:pt idx="1336">
                  <c:v>6561.2513812154693</c:v>
                </c:pt>
                <c:pt idx="1337">
                  <c:v>6067.1900826446281</c:v>
                </c:pt>
                <c:pt idx="1338">
                  <c:v>6884.5895316804454</c:v>
                </c:pt>
                <c:pt idx="1339">
                  <c:v>6541.8818681318744</c:v>
                </c:pt>
                <c:pt idx="1340">
                  <c:v>6061.659340659352</c:v>
                </c:pt>
                <c:pt idx="1341">
                  <c:v>5751.3489010989024</c:v>
                </c:pt>
                <c:pt idx="1342">
                  <c:v>5596.9532967032974</c:v>
                </c:pt>
                <c:pt idx="1343">
                  <c:v>6185.8493150684935</c:v>
                </c:pt>
                <c:pt idx="1344">
                  <c:v>6004.6958904109742</c:v>
                </c:pt>
                <c:pt idx="1345">
                  <c:v>5959.1748633879824</c:v>
                </c:pt>
                <c:pt idx="1346">
                  <c:v>6415.3196721311524</c:v>
                </c:pt>
                <c:pt idx="1347">
                  <c:v>6096.3060109289618</c:v>
                </c:pt>
                <c:pt idx="1348">
                  <c:v>6111.2425068120001</c:v>
                </c:pt>
                <c:pt idx="1349">
                  <c:v>6924.2833787465815</c:v>
                </c:pt>
                <c:pt idx="1350">
                  <c:v>6691.0978260869551</c:v>
                </c:pt>
                <c:pt idx="1351">
                  <c:v>6434.9103260869624</c:v>
                </c:pt>
                <c:pt idx="1352">
                  <c:v>6920.542005420054</c:v>
                </c:pt>
                <c:pt idx="1353">
                  <c:v>6448.5675675675784</c:v>
                </c:pt>
                <c:pt idx="1354">
                  <c:v>6445.1648648648797</c:v>
                </c:pt>
                <c:pt idx="1355">
                  <c:v>6155.1159029649634</c:v>
                </c:pt>
                <c:pt idx="1356">
                  <c:v>6269.6091644205035</c:v>
                </c:pt>
                <c:pt idx="1357">
                  <c:v>7298.5335120643385</c:v>
                </c:pt>
                <c:pt idx="1358">
                  <c:v>5898.1791443850334</c:v>
                </c:pt>
                <c:pt idx="1359">
                  <c:v>5974.2773333333216</c:v>
                </c:pt>
                <c:pt idx="1360">
                  <c:v>7276.4266666666863</c:v>
                </c:pt>
                <c:pt idx="1361">
                  <c:v>5736.1466666666893</c:v>
                </c:pt>
                <c:pt idx="1362">
                  <c:v>5685.2340425531911</c:v>
                </c:pt>
                <c:pt idx="1363">
                  <c:v>5586.3005319148942</c:v>
                </c:pt>
                <c:pt idx="1364">
                  <c:v>6637.1835106382969</c:v>
                </c:pt>
                <c:pt idx="1365">
                  <c:v>6188.1644562334222</c:v>
                </c:pt>
                <c:pt idx="1366">
                  <c:v>6045.8047493403665</c:v>
                </c:pt>
                <c:pt idx="1367">
                  <c:v>6164.7678100263765</c:v>
                </c:pt>
                <c:pt idx="1368">
                  <c:v>5763.031578947368</c:v>
                </c:pt>
                <c:pt idx="1369">
                  <c:v>6716.3052631579167</c:v>
                </c:pt>
                <c:pt idx="1370">
                  <c:v>5560.4356955380581</c:v>
                </c:pt>
                <c:pt idx="1371">
                  <c:v>5647.4041994750651</c:v>
                </c:pt>
                <c:pt idx="1372">
                  <c:v>5848.3517060367458</c:v>
                </c:pt>
                <c:pt idx="1373">
                  <c:v>6349.2827225130904</c:v>
                </c:pt>
                <c:pt idx="1374">
                  <c:v>6662.939790575917</c:v>
                </c:pt>
                <c:pt idx="1375">
                  <c:v>6000.9503916449084</c:v>
                </c:pt>
                <c:pt idx="1376">
                  <c:v>6355.3064935065058</c:v>
                </c:pt>
                <c:pt idx="1377">
                  <c:v>5754.0129198966424</c:v>
                </c:pt>
                <c:pt idx="1378">
                  <c:v>6390.7680412371137</c:v>
                </c:pt>
                <c:pt idx="1379">
                  <c:v>6374.2268041237239</c:v>
                </c:pt>
                <c:pt idx="1380">
                  <c:v>6490.0902061855804</c:v>
                </c:pt>
                <c:pt idx="1381">
                  <c:v>7163.9151670951214</c:v>
                </c:pt>
                <c:pt idx="1382">
                  <c:v>6285.2025641025748</c:v>
                </c:pt>
                <c:pt idx="1383">
                  <c:v>5423.9616368286452</c:v>
                </c:pt>
                <c:pt idx="1384">
                  <c:v>6244.352941176483</c:v>
                </c:pt>
                <c:pt idx="1385">
                  <c:v>6311.6905370844024</c:v>
                </c:pt>
                <c:pt idx="1386">
                  <c:v>6437.4040920716134</c:v>
                </c:pt>
                <c:pt idx="1387">
                  <c:v>6223.875</c:v>
                </c:pt>
                <c:pt idx="1388">
                  <c:v>7542.9591836734744</c:v>
                </c:pt>
                <c:pt idx="1389">
                  <c:v>5166.8193384223923</c:v>
                </c:pt>
                <c:pt idx="1390">
                  <c:v>5667.8676844783831</c:v>
                </c:pt>
                <c:pt idx="1391">
                  <c:v>7797.5292620865248</c:v>
                </c:pt>
                <c:pt idx="1392">
                  <c:v>6258.5558375634619</c:v>
                </c:pt>
                <c:pt idx="1393">
                  <c:v>6375.2563451776641</c:v>
                </c:pt>
                <c:pt idx="1394">
                  <c:v>6000.8278481012658</c:v>
                </c:pt>
                <c:pt idx="1395">
                  <c:v>5596.9898989898975</c:v>
                </c:pt>
                <c:pt idx="1396">
                  <c:v>5978.6010101010124</c:v>
                </c:pt>
                <c:pt idx="1397">
                  <c:v>5970.3181818181829</c:v>
                </c:pt>
                <c:pt idx="1398">
                  <c:v>6019.3510101010124</c:v>
                </c:pt>
                <c:pt idx="1399">
                  <c:v>5742.329974811094</c:v>
                </c:pt>
                <c:pt idx="1400">
                  <c:v>6505.6180904522644</c:v>
                </c:pt>
                <c:pt idx="1401">
                  <c:v>6541.1783919597992</c:v>
                </c:pt>
                <c:pt idx="1402">
                  <c:v>5877.5714285714394</c:v>
                </c:pt>
                <c:pt idx="1403">
                  <c:v>6476.5839598997491</c:v>
                </c:pt>
                <c:pt idx="1404">
                  <c:v>5749.4035087719294</c:v>
                </c:pt>
                <c:pt idx="1405">
                  <c:v>6336.3859649122824</c:v>
                </c:pt>
                <c:pt idx="1406">
                  <c:v>6288.4786967418549</c:v>
                </c:pt>
                <c:pt idx="1407">
                  <c:v>6210.7175000000007</c:v>
                </c:pt>
                <c:pt idx="1408">
                  <c:v>6609.6034912718214</c:v>
                </c:pt>
                <c:pt idx="1409">
                  <c:v>5914.5618811881204</c:v>
                </c:pt>
                <c:pt idx="1410">
                  <c:v>6249.5915841584265</c:v>
                </c:pt>
                <c:pt idx="1411">
                  <c:v>5652.4876237623794</c:v>
                </c:pt>
                <c:pt idx="1412">
                  <c:v>6263.4430693069298</c:v>
                </c:pt>
                <c:pt idx="1413">
                  <c:v>6593.1975308642004</c:v>
                </c:pt>
                <c:pt idx="1414">
                  <c:v>7736.0635696821619</c:v>
                </c:pt>
                <c:pt idx="1415">
                  <c:v>6174.6125907990354</c:v>
                </c:pt>
                <c:pt idx="1416">
                  <c:v>5965.8256658595847</c:v>
                </c:pt>
                <c:pt idx="1417">
                  <c:v>5556.0290556900727</c:v>
                </c:pt>
                <c:pt idx="1418">
                  <c:v>5939.1642512077451</c:v>
                </c:pt>
                <c:pt idx="1419">
                  <c:v>6331.1690821256043</c:v>
                </c:pt>
                <c:pt idx="1420">
                  <c:v>6319.6714975845434</c:v>
                </c:pt>
                <c:pt idx="1421">
                  <c:v>5723.7524038461515</c:v>
                </c:pt>
                <c:pt idx="1422">
                  <c:v>6580.7745803357275</c:v>
                </c:pt>
                <c:pt idx="1423">
                  <c:v>5695.8417266187053</c:v>
                </c:pt>
                <c:pt idx="1424">
                  <c:v>5537.7122302158423</c:v>
                </c:pt>
                <c:pt idx="1425">
                  <c:v>6548.1052631579178</c:v>
                </c:pt>
                <c:pt idx="1426">
                  <c:v>6600.2105263158001</c:v>
                </c:pt>
                <c:pt idx="1427">
                  <c:v>5617.8119047619266</c:v>
                </c:pt>
                <c:pt idx="1428">
                  <c:v>5866.9023809523806</c:v>
                </c:pt>
                <c:pt idx="1429">
                  <c:v>5895.1714285714443</c:v>
                </c:pt>
                <c:pt idx="1430">
                  <c:v>5946.9</c:v>
                </c:pt>
                <c:pt idx="1431">
                  <c:v>6440.8833333333305</c:v>
                </c:pt>
                <c:pt idx="1432">
                  <c:v>7057.9452380952434</c:v>
                </c:pt>
                <c:pt idx="1433">
                  <c:v>6091.2945368171031</c:v>
                </c:pt>
                <c:pt idx="1434">
                  <c:v>5977.7648456057004</c:v>
                </c:pt>
                <c:pt idx="1435">
                  <c:v>6888.4014251781473</c:v>
                </c:pt>
                <c:pt idx="1436">
                  <c:v>6307.7985781990528</c:v>
                </c:pt>
                <c:pt idx="1437">
                  <c:v>6663.9312796208533</c:v>
                </c:pt>
                <c:pt idx="1438">
                  <c:v>5695.6713947990538</c:v>
                </c:pt>
                <c:pt idx="1439">
                  <c:v>5989.0567375886521</c:v>
                </c:pt>
                <c:pt idx="1440">
                  <c:v>7260.7044917257754</c:v>
                </c:pt>
                <c:pt idx="1441">
                  <c:v>6137.9693396226412</c:v>
                </c:pt>
                <c:pt idx="1442">
                  <c:v>5647.9834905660282</c:v>
                </c:pt>
                <c:pt idx="1443">
                  <c:v>6318.1792452830214</c:v>
                </c:pt>
                <c:pt idx="1444">
                  <c:v>7069.7523584905657</c:v>
                </c:pt>
                <c:pt idx="1445">
                  <c:v>6432.7058823529405</c:v>
                </c:pt>
                <c:pt idx="1446">
                  <c:v>6225.7882352941178</c:v>
                </c:pt>
                <c:pt idx="1447">
                  <c:v>6126.3647058823517</c:v>
                </c:pt>
                <c:pt idx="1448">
                  <c:v>5701.76</c:v>
                </c:pt>
                <c:pt idx="1449">
                  <c:v>6459.4201877934274</c:v>
                </c:pt>
                <c:pt idx="1450">
                  <c:v>5334.7494145199134</c:v>
                </c:pt>
                <c:pt idx="1451">
                  <c:v>7250.9110070257602</c:v>
                </c:pt>
                <c:pt idx="1452">
                  <c:v>6149.4649532710282</c:v>
                </c:pt>
                <c:pt idx="1453">
                  <c:v>5544.0140186915914</c:v>
                </c:pt>
                <c:pt idx="1454">
                  <c:v>6379.7149532710282</c:v>
                </c:pt>
                <c:pt idx="1455">
                  <c:v>6288.8298368298483</c:v>
                </c:pt>
                <c:pt idx="1456">
                  <c:v>6204.1139534883723</c:v>
                </c:pt>
                <c:pt idx="1457">
                  <c:v>5336.9302325581402</c:v>
                </c:pt>
                <c:pt idx="1458">
                  <c:v>5474.2273781902495</c:v>
                </c:pt>
                <c:pt idx="1459">
                  <c:v>6270.4408352668215</c:v>
                </c:pt>
                <c:pt idx="1460">
                  <c:v>6154.8101851851843</c:v>
                </c:pt>
                <c:pt idx="1461">
                  <c:v>5793.93749999999</c:v>
                </c:pt>
                <c:pt idx="1462">
                  <c:v>6999.1824480369514</c:v>
                </c:pt>
                <c:pt idx="1463">
                  <c:v>6073.1751152073739</c:v>
                </c:pt>
                <c:pt idx="1464">
                  <c:v>5545.9057471264205</c:v>
                </c:pt>
                <c:pt idx="1465">
                  <c:v>5657.2666666666864</c:v>
                </c:pt>
                <c:pt idx="1466">
                  <c:v>6169.3609195402314</c:v>
                </c:pt>
                <c:pt idx="1467">
                  <c:v>5732.7557077625561</c:v>
                </c:pt>
                <c:pt idx="1468">
                  <c:v>6398.5740318906601</c:v>
                </c:pt>
                <c:pt idx="1469">
                  <c:v>5704.5444191343968</c:v>
                </c:pt>
                <c:pt idx="1470">
                  <c:v>5686.3741496598759</c:v>
                </c:pt>
                <c:pt idx="1471">
                  <c:v>6201.5610859728504</c:v>
                </c:pt>
                <c:pt idx="1472">
                  <c:v>5519.8054298642628</c:v>
                </c:pt>
                <c:pt idx="1473">
                  <c:v>6942.5701357466069</c:v>
                </c:pt>
                <c:pt idx="1474">
                  <c:v>5648.7629796839947</c:v>
                </c:pt>
                <c:pt idx="1475">
                  <c:v>5888.3220720720838</c:v>
                </c:pt>
                <c:pt idx="1476">
                  <c:v>6391.8490990991004</c:v>
                </c:pt>
                <c:pt idx="1477">
                  <c:v>6017.6292134831692</c:v>
                </c:pt>
                <c:pt idx="1478">
                  <c:v>5833.1188340807294</c:v>
                </c:pt>
                <c:pt idx="1479">
                  <c:v>5517.3991031390133</c:v>
                </c:pt>
                <c:pt idx="1480">
                  <c:v>6120.0894854586131</c:v>
                </c:pt>
                <c:pt idx="1481">
                  <c:v>6670.8434004474284</c:v>
                </c:pt>
                <c:pt idx="1482">
                  <c:v>6539.2946428571431</c:v>
                </c:pt>
                <c:pt idx="1483">
                  <c:v>5955.7282850779611</c:v>
                </c:pt>
                <c:pt idx="1484">
                  <c:v>5511.3786191536856</c:v>
                </c:pt>
                <c:pt idx="1485">
                  <c:v>6611.9401330376941</c:v>
                </c:pt>
                <c:pt idx="1486">
                  <c:v>5679.9358407079635</c:v>
                </c:pt>
                <c:pt idx="1487">
                  <c:v>6013.1504424778905</c:v>
                </c:pt>
                <c:pt idx="1488">
                  <c:v>6084.9052863436118</c:v>
                </c:pt>
                <c:pt idx="1489">
                  <c:v>7185.5406593406597</c:v>
                </c:pt>
                <c:pt idx="1490">
                  <c:v>6258.1252747252965</c:v>
                </c:pt>
                <c:pt idx="1491">
                  <c:v>5375.6367614879855</c:v>
                </c:pt>
                <c:pt idx="1492">
                  <c:v>5559.0174672489075</c:v>
                </c:pt>
                <c:pt idx="1493">
                  <c:v>6201.2772925764193</c:v>
                </c:pt>
                <c:pt idx="1494">
                  <c:v>6644.6652173913044</c:v>
                </c:pt>
                <c:pt idx="1495">
                  <c:v>6732.028199566178</c:v>
                </c:pt>
                <c:pt idx="1496">
                  <c:v>5642.321041214761</c:v>
                </c:pt>
                <c:pt idx="1497">
                  <c:v>6066.2012987013122</c:v>
                </c:pt>
                <c:pt idx="1498">
                  <c:v>6702.2099567099558</c:v>
                </c:pt>
                <c:pt idx="1499">
                  <c:v>6462.894168466536</c:v>
                </c:pt>
                <c:pt idx="1500">
                  <c:v>5655.5517241379421</c:v>
                </c:pt>
                <c:pt idx="1501">
                  <c:v>6026.2844827586205</c:v>
                </c:pt>
                <c:pt idx="1502">
                  <c:v>5812.1612903225941</c:v>
                </c:pt>
                <c:pt idx="1503">
                  <c:v>7631.7713675213672</c:v>
                </c:pt>
                <c:pt idx="1504">
                  <c:v>5525.8824786324794</c:v>
                </c:pt>
                <c:pt idx="1505">
                  <c:v>6472.9125799573703</c:v>
                </c:pt>
                <c:pt idx="1506">
                  <c:v>6314.8382978723375</c:v>
                </c:pt>
                <c:pt idx="1507">
                  <c:v>5900.07855626327</c:v>
                </c:pt>
                <c:pt idx="1508">
                  <c:v>5732.0276008492574</c:v>
                </c:pt>
                <c:pt idx="1509">
                  <c:v>6077.7902542372894</c:v>
                </c:pt>
                <c:pt idx="1510">
                  <c:v>5963.0380549682877</c:v>
                </c:pt>
                <c:pt idx="1511">
                  <c:v>5667.1476793248949</c:v>
                </c:pt>
                <c:pt idx="1512">
                  <c:v>6386.3607594936821</c:v>
                </c:pt>
                <c:pt idx="1513">
                  <c:v>6475.7431578947253</c:v>
                </c:pt>
                <c:pt idx="1514">
                  <c:v>6160.9452631579115</c:v>
                </c:pt>
                <c:pt idx="1515">
                  <c:v>5935.7957894736946</c:v>
                </c:pt>
                <c:pt idx="1516">
                  <c:v>7474.5326315789644</c:v>
                </c:pt>
                <c:pt idx="1517">
                  <c:v>5725.0607966457028</c:v>
                </c:pt>
                <c:pt idx="1518">
                  <c:v>7604.0356394130104</c:v>
                </c:pt>
                <c:pt idx="1519">
                  <c:v>5972.621338912134</c:v>
                </c:pt>
                <c:pt idx="1520">
                  <c:v>6366.7154811715554</c:v>
                </c:pt>
                <c:pt idx="1521">
                  <c:v>6057.7615062761524</c:v>
                </c:pt>
                <c:pt idx="1522">
                  <c:v>7109.6066945606881</c:v>
                </c:pt>
                <c:pt idx="1523">
                  <c:v>5713.9331941544924</c:v>
                </c:pt>
                <c:pt idx="1524">
                  <c:v>6064.6066252588153</c:v>
                </c:pt>
                <c:pt idx="1525">
                  <c:v>5954.2128099173551</c:v>
                </c:pt>
                <c:pt idx="1526">
                  <c:v>6574.2041237113444</c:v>
                </c:pt>
                <c:pt idx="1527">
                  <c:v>5622.0247422680395</c:v>
                </c:pt>
                <c:pt idx="1528">
                  <c:v>5990.9094650205761</c:v>
                </c:pt>
                <c:pt idx="1529">
                  <c:v>6055.8106995884873</c:v>
                </c:pt>
                <c:pt idx="1530">
                  <c:v>6363.4250513347015</c:v>
                </c:pt>
                <c:pt idx="1531">
                  <c:v>6915.7186858316236</c:v>
                </c:pt>
                <c:pt idx="1532">
                  <c:v>7661.2842535787322</c:v>
                </c:pt>
                <c:pt idx="1533">
                  <c:v>5894.8612244898304</c:v>
                </c:pt>
                <c:pt idx="1534">
                  <c:v>6429.2102040816517</c:v>
                </c:pt>
                <c:pt idx="1535">
                  <c:v>5726.4847250509174</c:v>
                </c:pt>
                <c:pt idx="1536">
                  <c:v>5352.4979757084975</c:v>
                </c:pt>
                <c:pt idx="1537">
                  <c:v>5597.7004048582994</c:v>
                </c:pt>
                <c:pt idx="1538">
                  <c:v>5974.8727272727274</c:v>
                </c:pt>
                <c:pt idx="1539">
                  <c:v>6028.1636363636553</c:v>
                </c:pt>
                <c:pt idx="1540">
                  <c:v>5895.1878787878804</c:v>
                </c:pt>
                <c:pt idx="1541">
                  <c:v>5865.2681451612934</c:v>
                </c:pt>
                <c:pt idx="1542">
                  <c:v>5924.5392354124742</c:v>
                </c:pt>
                <c:pt idx="1543">
                  <c:v>5434.1448692152944</c:v>
                </c:pt>
                <c:pt idx="1544">
                  <c:v>5253.7539999999999</c:v>
                </c:pt>
                <c:pt idx="1545">
                  <c:v>5817.81</c:v>
                </c:pt>
                <c:pt idx="1546">
                  <c:v>6036.31</c:v>
                </c:pt>
                <c:pt idx="1547">
                  <c:v>5372.7644710578979</c:v>
                </c:pt>
                <c:pt idx="1548">
                  <c:v>5900.9500998004014</c:v>
                </c:pt>
                <c:pt idx="1549">
                  <c:v>5719.0876494023914</c:v>
                </c:pt>
                <c:pt idx="1550">
                  <c:v>6674.3047808764895</c:v>
                </c:pt>
                <c:pt idx="1551">
                  <c:v>5710.9960317460309</c:v>
                </c:pt>
                <c:pt idx="1552">
                  <c:v>6216.6904761904834</c:v>
                </c:pt>
                <c:pt idx="1553">
                  <c:v>6866.9386138613845</c:v>
                </c:pt>
                <c:pt idx="1554">
                  <c:v>5965.223320158103</c:v>
                </c:pt>
                <c:pt idx="1555">
                  <c:v>5827.4536489151869</c:v>
                </c:pt>
                <c:pt idx="1556">
                  <c:v>6178.8500986193294</c:v>
                </c:pt>
                <c:pt idx="1557">
                  <c:v>5639.1277013752524</c:v>
                </c:pt>
                <c:pt idx="1558">
                  <c:v>6163.4078431372436</c:v>
                </c:pt>
                <c:pt idx="1559">
                  <c:v>5868.0215264188064</c:v>
                </c:pt>
                <c:pt idx="1560">
                  <c:v>5284.87109375001</c:v>
                </c:pt>
                <c:pt idx="1561">
                  <c:v>5667.568359375</c:v>
                </c:pt>
                <c:pt idx="1562">
                  <c:v>5522.9221789883304</c:v>
                </c:pt>
                <c:pt idx="1563">
                  <c:v>5432.7131782945735</c:v>
                </c:pt>
                <c:pt idx="1564">
                  <c:v>5882.7906976744189</c:v>
                </c:pt>
                <c:pt idx="1565">
                  <c:v>5777.187984496124</c:v>
                </c:pt>
                <c:pt idx="1566">
                  <c:v>6175.0735009671189</c:v>
                </c:pt>
                <c:pt idx="1567">
                  <c:v>6606.2843326885868</c:v>
                </c:pt>
                <c:pt idx="1568">
                  <c:v>5897.1969111969229</c:v>
                </c:pt>
                <c:pt idx="1569">
                  <c:v>6225.9884615384608</c:v>
                </c:pt>
                <c:pt idx="1570">
                  <c:v>6041.0826923077038</c:v>
                </c:pt>
                <c:pt idx="1571">
                  <c:v>6554.95</c:v>
                </c:pt>
                <c:pt idx="1572">
                  <c:v>6212.8653846153957</c:v>
                </c:pt>
                <c:pt idx="1573">
                  <c:v>6107.4568138195773</c:v>
                </c:pt>
                <c:pt idx="1574">
                  <c:v>6996.6609195402334</c:v>
                </c:pt>
                <c:pt idx="1575">
                  <c:v>5960.2160611854843</c:v>
                </c:pt>
                <c:pt idx="1576">
                  <c:v>5731.4139886578441</c:v>
                </c:pt>
                <c:pt idx="1577">
                  <c:v>5614.5490566037734</c:v>
                </c:pt>
                <c:pt idx="1578">
                  <c:v>6065.5630885122418</c:v>
                </c:pt>
                <c:pt idx="1579">
                  <c:v>6360.2485981308319</c:v>
                </c:pt>
                <c:pt idx="1580">
                  <c:v>5837.3463687150843</c:v>
                </c:pt>
                <c:pt idx="1581">
                  <c:v>6139.324022346369</c:v>
                </c:pt>
                <c:pt idx="1582">
                  <c:v>6457.0334572490519</c:v>
                </c:pt>
                <c:pt idx="1583">
                  <c:v>5678.4508348794134</c:v>
                </c:pt>
                <c:pt idx="1584">
                  <c:v>5946.8905380333954</c:v>
                </c:pt>
                <c:pt idx="1585">
                  <c:v>5956.4092592592624</c:v>
                </c:pt>
                <c:pt idx="1586">
                  <c:v>6493.2047970479698</c:v>
                </c:pt>
                <c:pt idx="1587">
                  <c:v>5916.8950276243104</c:v>
                </c:pt>
                <c:pt idx="1588">
                  <c:v>5553.804788213627</c:v>
                </c:pt>
                <c:pt idx="1589">
                  <c:v>6039.375</c:v>
                </c:pt>
                <c:pt idx="1590">
                  <c:v>6225.4348623853175</c:v>
                </c:pt>
                <c:pt idx="1591">
                  <c:v>5578.3608058608124</c:v>
                </c:pt>
                <c:pt idx="1592">
                  <c:v>6488.281021897822</c:v>
                </c:pt>
                <c:pt idx="1593">
                  <c:v>5907.7613843351555</c:v>
                </c:pt>
                <c:pt idx="1594">
                  <c:v>6454.4990892531914</c:v>
                </c:pt>
                <c:pt idx="1595">
                  <c:v>6457.8363636363647</c:v>
                </c:pt>
                <c:pt idx="1596">
                  <c:v>7818.5127272727304</c:v>
                </c:pt>
                <c:pt idx="1597">
                  <c:v>6520.2849364791391</c:v>
                </c:pt>
                <c:pt idx="1598">
                  <c:v>5260.1923774954739</c:v>
                </c:pt>
                <c:pt idx="1599">
                  <c:v>6982.7931034482745</c:v>
                </c:pt>
                <c:pt idx="1600">
                  <c:v>5556.3725135623954</c:v>
                </c:pt>
                <c:pt idx="1601">
                  <c:v>5735.2960288808754</c:v>
                </c:pt>
                <c:pt idx="1602">
                  <c:v>6163.3519855595823</c:v>
                </c:pt>
                <c:pt idx="1603">
                  <c:v>6033.2018018018034</c:v>
                </c:pt>
                <c:pt idx="1604">
                  <c:v>5728.8345323741005</c:v>
                </c:pt>
                <c:pt idx="1605">
                  <c:v>5422.4811490125694</c:v>
                </c:pt>
                <c:pt idx="1606">
                  <c:v>6194.4303571428354</c:v>
                </c:pt>
                <c:pt idx="1607">
                  <c:v>6504.45</c:v>
                </c:pt>
                <c:pt idx="1608">
                  <c:v>5512.2682060390844</c:v>
                </c:pt>
                <c:pt idx="1609">
                  <c:v>5576.8046181172294</c:v>
                </c:pt>
                <c:pt idx="1610">
                  <c:v>6894.1897163120566</c:v>
                </c:pt>
                <c:pt idx="1611">
                  <c:v>6462.6418439716344</c:v>
                </c:pt>
                <c:pt idx="1612">
                  <c:v>6238.6554770318044</c:v>
                </c:pt>
                <c:pt idx="1613">
                  <c:v>5704.9894366197204</c:v>
                </c:pt>
                <c:pt idx="1614">
                  <c:v>6425.6813380281683</c:v>
                </c:pt>
                <c:pt idx="1615">
                  <c:v>5825.3128295255046</c:v>
                </c:pt>
                <c:pt idx="1616">
                  <c:v>6761.2767075306465</c:v>
                </c:pt>
                <c:pt idx="1617">
                  <c:v>6283.327556325823</c:v>
                </c:pt>
                <c:pt idx="1618">
                  <c:v>7012.4645941278104</c:v>
                </c:pt>
                <c:pt idx="1619">
                  <c:v>5703.1327586206899</c:v>
                </c:pt>
                <c:pt idx="1620">
                  <c:v>7352.0465517241382</c:v>
                </c:pt>
                <c:pt idx="1621">
                  <c:v>5923.0086058519892</c:v>
                </c:pt>
                <c:pt idx="1622">
                  <c:v>6252.2658662092654</c:v>
                </c:pt>
                <c:pt idx="1623">
                  <c:v>5400.7397260273974</c:v>
                </c:pt>
                <c:pt idx="1624">
                  <c:v>6159.643835616439</c:v>
                </c:pt>
                <c:pt idx="1625">
                  <c:v>6058.082191780838</c:v>
                </c:pt>
                <c:pt idx="1626">
                  <c:v>5993.4315068493115</c:v>
                </c:pt>
                <c:pt idx="1627">
                  <c:v>6175.0204429301475</c:v>
                </c:pt>
                <c:pt idx="1628">
                  <c:v>5589.6320272572511</c:v>
                </c:pt>
                <c:pt idx="1629">
                  <c:v>5939.0966101695039</c:v>
                </c:pt>
                <c:pt idx="1630">
                  <c:v>5717.8108108108099</c:v>
                </c:pt>
                <c:pt idx="1631">
                  <c:v>6140.7272727272721</c:v>
                </c:pt>
                <c:pt idx="1632">
                  <c:v>6481.6661073825544</c:v>
                </c:pt>
                <c:pt idx="1633">
                  <c:v>6170.29648241206</c:v>
                </c:pt>
                <c:pt idx="1634">
                  <c:v>6328.9866220735912</c:v>
                </c:pt>
                <c:pt idx="1635">
                  <c:v>5559.1411960133</c:v>
                </c:pt>
                <c:pt idx="1636">
                  <c:v>6581.604651162801</c:v>
                </c:pt>
                <c:pt idx="1637">
                  <c:v>6066.4212271973583</c:v>
                </c:pt>
                <c:pt idx="1638">
                  <c:v>5676.4495867768583</c:v>
                </c:pt>
                <c:pt idx="1639">
                  <c:v>5841.2701812191099</c:v>
                </c:pt>
                <c:pt idx="1640">
                  <c:v>6086.6315789473683</c:v>
                </c:pt>
                <c:pt idx="1641">
                  <c:v>6316.5613747954303</c:v>
                </c:pt>
                <c:pt idx="1642">
                  <c:v>7196.191489361715</c:v>
                </c:pt>
                <c:pt idx="1643">
                  <c:v>6018.3452768729767</c:v>
                </c:pt>
                <c:pt idx="1644">
                  <c:v>5823.6845528455287</c:v>
                </c:pt>
                <c:pt idx="1645">
                  <c:v>6443.3035714285734</c:v>
                </c:pt>
                <c:pt idx="1646">
                  <c:v>5011.2824675324673</c:v>
                </c:pt>
                <c:pt idx="1647">
                  <c:v>6419.0226904376241</c:v>
                </c:pt>
                <c:pt idx="1648">
                  <c:v>5354.4378029079053</c:v>
                </c:pt>
                <c:pt idx="1649">
                  <c:v>5945.723027375202</c:v>
                </c:pt>
                <c:pt idx="1650">
                  <c:v>5381.6254019292701</c:v>
                </c:pt>
                <c:pt idx="1651">
                  <c:v>6521.8814102564102</c:v>
                </c:pt>
                <c:pt idx="1652">
                  <c:v>6442.4112000000014</c:v>
                </c:pt>
                <c:pt idx="1653">
                  <c:v>5918.6464968153005</c:v>
                </c:pt>
                <c:pt idx="1654">
                  <c:v>5599.5548489666135</c:v>
                </c:pt>
                <c:pt idx="1655">
                  <c:v>6431.6269841269959</c:v>
                </c:pt>
                <c:pt idx="1656">
                  <c:v>6117.431746031747</c:v>
                </c:pt>
                <c:pt idx="1657">
                  <c:v>6154.6117274168091</c:v>
                </c:pt>
                <c:pt idx="1658">
                  <c:v>5714.6388012618354</c:v>
                </c:pt>
                <c:pt idx="1659">
                  <c:v>5847.3874015748033</c:v>
                </c:pt>
                <c:pt idx="1660">
                  <c:v>5420.1540880503144</c:v>
                </c:pt>
                <c:pt idx="1661">
                  <c:v>5610.8930817610144</c:v>
                </c:pt>
                <c:pt idx="1662">
                  <c:v>6512.2279874213837</c:v>
                </c:pt>
                <c:pt idx="1663">
                  <c:v>6113.4427001569857</c:v>
                </c:pt>
                <c:pt idx="1664">
                  <c:v>5903.3890625000004</c:v>
                </c:pt>
                <c:pt idx="1665">
                  <c:v>5783.3244929797311</c:v>
                </c:pt>
                <c:pt idx="1666">
                  <c:v>5967.2803738317762</c:v>
                </c:pt>
                <c:pt idx="1667">
                  <c:v>6295.7577639751535</c:v>
                </c:pt>
                <c:pt idx="1668">
                  <c:v>6146.6093023255817</c:v>
                </c:pt>
                <c:pt idx="1669">
                  <c:v>6128.9399075500769</c:v>
                </c:pt>
                <c:pt idx="1670">
                  <c:v>6899.5092307692421</c:v>
                </c:pt>
                <c:pt idx="1671">
                  <c:v>5715.6079027355627</c:v>
                </c:pt>
                <c:pt idx="1672">
                  <c:v>6142.3393939393827</c:v>
                </c:pt>
                <c:pt idx="1673">
                  <c:v>5556.5727272727281</c:v>
                </c:pt>
                <c:pt idx="1674">
                  <c:v>5555.174242424242</c:v>
                </c:pt>
                <c:pt idx="1675">
                  <c:v>6819.5498489425872</c:v>
                </c:pt>
                <c:pt idx="1676">
                  <c:v>5343.4287856071969</c:v>
                </c:pt>
                <c:pt idx="1677">
                  <c:v>5766.9176646706701</c:v>
                </c:pt>
                <c:pt idx="1678">
                  <c:v>6841.1467065868364</c:v>
                </c:pt>
                <c:pt idx="1679">
                  <c:v>5485.211851851861</c:v>
                </c:pt>
                <c:pt idx="1680">
                  <c:v>5728.8942731277639</c:v>
                </c:pt>
                <c:pt idx="1681">
                  <c:v>6551.4780058650995</c:v>
                </c:pt>
                <c:pt idx="1682">
                  <c:v>6174.9281524926691</c:v>
                </c:pt>
                <c:pt idx="1683">
                  <c:v>6294.9096209912532</c:v>
                </c:pt>
                <c:pt idx="1684">
                  <c:v>5743.998544395924</c:v>
                </c:pt>
                <c:pt idx="1685">
                  <c:v>5117.0014556040715</c:v>
                </c:pt>
                <c:pt idx="1686">
                  <c:v>5412.0043478260723</c:v>
                </c:pt>
                <c:pt idx="1687">
                  <c:v>5341.7607449856732</c:v>
                </c:pt>
                <c:pt idx="1688">
                  <c:v>6089.7713068181765</c:v>
                </c:pt>
                <c:pt idx="1689">
                  <c:v>6066.6803977272675</c:v>
                </c:pt>
                <c:pt idx="1690">
                  <c:v>6990.257102272727</c:v>
                </c:pt>
                <c:pt idx="1691">
                  <c:v>5488.3107344632963</c:v>
                </c:pt>
                <c:pt idx="1692">
                  <c:v>5978.8255977496483</c:v>
                </c:pt>
                <c:pt idx="1693">
                  <c:v>6071.7935393258431</c:v>
                </c:pt>
                <c:pt idx="1694">
                  <c:v>5804.0589060308557</c:v>
                </c:pt>
                <c:pt idx="1695">
                  <c:v>5957.1174825174821</c:v>
                </c:pt>
                <c:pt idx="1696">
                  <c:v>6185.261772853185</c:v>
                </c:pt>
                <c:pt idx="1697">
                  <c:v>5885.6098226466574</c:v>
                </c:pt>
                <c:pt idx="1698">
                  <c:v>6738.8148648648767</c:v>
                </c:pt>
                <c:pt idx="1699">
                  <c:v>7326.0067476383165</c:v>
                </c:pt>
                <c:pt idx="1700">
                  <c:v>5903.9559412550134</c:v>
                </c:pt>
                <c:pt idx="1701">
                  <c:v>5744.7813333333315</c:v>
                </c:pt>
                <c:pt idx="1702">
                  <c:v>6128.4635761589434</c:v>
                </c:pt>
                <c:pt idx="1703">
                  <c:v>5991.0158102766791</c:v>
                </c:pt>
                <c:pt idx="1704">
                  <c:v>5820.95652173914</c:v>
                </c:pt>
                <c:pt idx="1705">
                  <c:v>5485.0091383812014</c:v>
                </c:pt>
                <c:pt idx="1706">
                  <c:v>5854.2795838751626</c:v>
                </c:pt>
                <c:pt idx="1707">
                  <c:v>5810.6718547341106</c:v>
                </c:pt>
                <c:pt idx="1708">
                  <c:v>5440.6662387676761</c:v>
                </c:pt>
                <c:pt idx="1709">
                  <c:v>5579.1974522292985</c:v>
                </c:pt>
                <c:pt idx="1710">
                  <c:v>6220.9886075949362</c:v>
                </c:pt>
                <c:pt idx="1711">
                  <c:v>5925.3103879849805</c:v>
                </c:pt>
                <c:pt idx="1712">
                  <c:v>6207.6359163591633</c:v>
                </c:pt>
                <c:pt idx="1713">
                  <c:v>5594.1759708737954</c:v>
                </c:pt>
                <c:pt idx="1714">
                  <c:v>5752.6398158803195</c:v>
                </c:pt>
                <c:pt idx="1715">
                  <c:v>6219.2745314222702</c:v>
                </c:pt>
                <c:pt idx="1716">
                  <c:v>6033.3769152196119</c:v>
                </c:pt>
                <c:pt idx="1717">
                  <c:v>6674.5986124876144</c:v>
                </c:pt>
                <c:pt idx="1718">
                  <c:v>6966.2423645320214</c:v>
                </c:pt>
                <c:pt idx="1719">
                  <c:v>5965.483775811198</c:v>
                </c:pt>
                <c:pt idx="1720">
                  <c:v>6339.1217137293124</c:v>
                </c:pt>
                <c:pt idx="1721">
                  <c:v>6445.6856392294349</c:v>
                </c:pt>
              </c:numCache>
            </c:numRef>
          </c:yVal>
        </c:ser>
        <c:axId val="271487744"/>
        <c:axId val="50405760"/>
      </c:scatterChart>
      <c:valAx>
        <c:axId val="271487744"/>
        <c:scaling>
          <c:orientation val="minMax"/>
          <c:max val="900"/>
          <c:min val="100"/>
        </c:scaling>
        <c:axPos val="b"/>
        <c:title>
          <c:tx>
            <c:rich>
              <a:bodyPr/>
              <a:lstStyle/>
              <a:p>
                <a:pPr>
                  <a:defRPr/>
                </a:pPr>
                <a:r>
                  <a:rPr lang="en-NZ"/>
                  <a:t>School size</a:t>
                </a:r>
                <a:r>
                  <a:rPr lang="en-NZ" baseline="0"/>
                  <a:t> - number of students</a:t>
                </a:r>
                <a:endParaRPr lang="en-NZ"/>
              </a:p>
            </c:rich>
          </c:tx>
        </c:title>
        <c:numFmt formatCode="General" sourceLinked="1"/>
        <c:tickLblPos val="nextTo"/>
        <c:crossAx val="50405760"/>
        <c:crosses val="autoZero"/>
        <c:crossBetween val="midCat"/>
      </c:valAx>
      <c:valAx>
        <c:axId val="50405760"/>
        <c:scaling>
          <c:orientation val="minMax"/>
          <c:max val="12000"/>
        </c:scaling>
        <c:axPos val="l"/>
        <c:majorGridlines/>
        <c:title>
          <c:tx>
            <c:rich>
              <a:bodyPr rot="-5400000" vert="horz"/>
              <a:lstStyle/>
              <a:p>
                <a:pPr>
                  <a:defRPr/>
                </a:pPr>
                <a:r>
                  <a:rPr lang="en-NZ"/>
                  <a:t>Expenditure per student</a:t>
                </a:r>
              </a:p>
            </c:rich>
          </c:tx>
        </c:title>
        <c:numFmt formatCode="_(&quot;$&quot;* #,##0_);_(&quot;$&quot;* \(#,##0\);_(&quot;$&quot;* &quot;-&quot;??_);_(@_)" sourceLinked="1"/>
        <c:tickLblPos val="nextTo"/>
        <c:crossAx val="271487744"/>
        <c:crosses val="autoZero"/>
        <c:crossBetween val="midCat"/>
      </c:valAx>
    </c:plotArea>
    <c:plotVisOnly val="1"/>
    <c:dispBlanksAs val="gap"/>
  </c:chart>
  <c:spPr>
    <a:ln>
      <a:noFill/>
    </a:ln>
  </c:spPr>
  <c:txPr>
    <a:bodyPr/>
    <a:lstStyle/>
    <a:p>
      <a:pPr>
        <a:defRPr sz="800"/>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3224540901502552"/>
          <c:y val="6.5258980785296572E-2"/>
          <c:w val="0.65902045202676496"/>
          <c:h val="0.59085478539834657"/>
        </c:manualLayout>
      </c:layout>
      <c:barChart>
        <c:barDir val="col"/>
        <c:grouping val="percentStacked"/>
        <c:ser>
          <c:idx val="1"/>
          <c:order val="0"/>
          <c:tx>
            <c:strRef>
              <c:f>SummaryStats!$I$1864</c:f>
              <c:strCache>
                <c:ptCount val="1"/>
                <c:pt idx="0">
                  <c:v>Expenditure on Learning Resources</c:v>
                </c:pt>
              </c:strCache>
            </c:strRef>
          </c:tx>
          <c:spPr>
            <a:solidFill>
              <a:schemeClr val="accent1"/>
            </a:solidFill>
          </c:spPr>
          <c:cat>
            <c:strRef>
              <c:f>SummaryStats!$C$1865:$C$1879</c:f>
              <c:strCache>
                <c:ptCount val="15"/>
                <c:pt idx="0">
                  <c:v>Up to 150</c:v>
                </c:pt>
                <c:pt idx="1">
                  <c:v>151-300</c:v>
                </c:pt>
                <c:pt idx="2">
                  <c:v>301-450</c:v>
                </c:pt>
                <c:pt idx="3">
                  <c:v>451-600</c:v>
                </c:pt>
                <c:pt idx="4">
                  <c:v>601-750</c:v>
                </c:pt>
                <c:pt idx="5">
                  <c:v>751-900</c:v>
                </c:pt>
                <c:pt idx="6">
                  <c:v>901-1050</c:v>
                </c:pt>
                <c:pt idx="7">
                  <c:v>1051-1200</c:v>
                </c:pt>
                <c:pt idx="8">
                  <c:v>1201-1350</c:v>
                </c:pt>
                <c:pt idx="9">
                  <c:v>1351-1500</c:v>
                </c:pt>
                <c:pt idx="10">
                  <c:v>1501-1650</c:v>
                </c:pt>
                <c:pt idx="11">
                  <c:v>1651-1800</c:v>
                </c:pt>
                <c:pt idx="12">
                  <c:v>1801-1950</c:v>
                </c:pt>
                <c:pt idx="13">
                  <c:v>1951-2100</c:v>
                </c:pt>
                <c:pt idx="14">
                  <c:v>over 2100</c:v>
                </c:pt>
              </c:strCache>
            </c:strRef>
          </c:cat>
          <c:val>
            <c:numRef>
              <c:f>SummaryStats!$I$1865:$I$1879</c:f>
              <c:numCache>
                <c:formatCode>_-* #,##0_-;\-* #,##0_-;_-* "-"??_-;_-@_-</c:formatCode>
                <c:ptCount val="15"/>
                <c:pt idx="0">
                  <c:v>5152115</c:v>
                </c:pt>
                <c:pt idx="1">
                  <c:v>70680873</c:v>
                </c:pt>
                <c:pt idx="2">
                  <c:v>138622053</c:v>
                </c:pt>
                <c:pt idx="3">
                  <c:v>147846000</c:v>
                </c:pt>
                <c:pt idx="4">
                  <c:v>151644412</c:v>
                </c:pt>
                <c:pt idx="5">
                  <c:v>165310831</c:v>
                </c:pt>
                <c:pt idx="6">
                  <c:v>122308839</c:v>
                </c:pt>
                <c:pt idx="7">
                  <c:v>96228566</c:v>
                </c:pt>
                <c:pt idx="8">
                  <c:v>89079708</c:v>
                </c:pt>
                <c:pt idx="9">
                  <c:v>99671547</c:v>
                </c:pt>
                <c:pt idx="10">
                  <c:v>86957208</c:v>
                </c:pt>
                <c:pt idx="11">
                  <c:v>62382085</c:v>
                </c:pt>
                <c:pt idx="12">
                  <c:v>91237158</c:v>
                </c:pt>
                <c:pt idx="13">
                  <c:v>10589267</c:v>
                </c:pt>
                <c:pt idx="14">
                  <c:v>146398068</c:v>
                </c:pt>
              </c:numCache>
            </c:numRef>
          </c:val>
        </c:ser>
        <c:ser>
          <c:idx val="0"/>
          <c:order val="1"/>
          <c:tx>
            <c:strRef>
              <c:f>SummaryStats!$G$1864</c:f>
              <c:strCache>
                <c:ptCount val="1"/>
                <c:pt idx="0">
                  <c:v>Administration Expenses (incl. Finance)</c:v>
                </c:pt>
              </c:strCache>
            </c:strRef>
          </c:tx>
          <c:spPr>
            <a:solidFill>
              <a:schemeClr val="accent2"/>
            </a:solidFill>
          </c:spPr>
          <c:cat>
            <c:strRef>
              <c:f>SummaryStats!$C$1865:$C$1879</c:f>
              <c:strCache>
                <c:ptCount val="15"/>
                <c:pt idx="0">
                  <c:v>Up to 150</c:v>
                </c:pt>
                <c:pt idx="1">
                  <c:v>151-300</c:v>
                </c:pt>
                <c:pt idx="2">
                  <c:v>301-450</c:v>
                </c:pt>
                <c:pt idx="3">
                  <c:v>451-600</c:v>
                </c:pt>
                <c:pt idx="4">
                  <c:v>601-750</c:v>
                </c:pt>
                <c:pt idx="5">
                  <c:v>751-900</c:v>
                </c:pt>
                <c:pt idx="6">
                  <c:v>901-1050</c:v>
                </c:pt>
                <c:pt idx="7">
                  <c:v>1051-1200</c:v>
                </c:pt>
                <c:pt idx="8">
                  <c:v>1201-1350</c:v>
                </c:pt>
                <c:pt idx="9">
                  <c:v>1351-1500</c:v>
                </c:pt>
                <c:pt idx="10">
                  <c:v>1501-1650</c:v>
                </c:pt>
                <c:pt idx="11">
                  <c:v>1651-1800</c:v>
                </c:pt>
                <c:pt idx="12">
                  <c:v>1801-1950</c:v>
                </c:pt>
                <c:pt idx="13">
                  <c:v>1951-2100</c:v>
                </c:pt>
                <c:pt idx="14">
                  <c:v>over 2100</c:v>
                </c:pt>
              </c:strCache>
            </c:strRef>
          </c:cat>
          <c:val>
            <c:numRef>
              <c:f>SummaryStats!$G$1865:$G$1879</c:f>
              <c:numCache>
                <c:formatCode>_-* #,##0_-;\-* #,##0_-;_-* "-"??_-;_-@_-</c:formatCode>
                <c:ptCount val="15"/>
                <c:pt idx="0">
                  <c:v>811563</c:v>
                </c:pt>
                <c:pt idx="1">
                  <c:v>8092033</c:v>
                </c:pt>
                <c:pt idx="2">
                  <c:v>13201355</c:v>
                </c:pt>
                <c:pt idx="3">
                  <c:v>15035792</c:v>
                </c:pt>
                <c:pt idx="4">
                  <c:v>13261518</c:v>
                </c:pt>
                <c:pt idx="5">
                  <c:v>15917589</c:v>
                </c:pt>
                <c:pt idx="6">
                  <c:v>11826190</c:v>
                </c:pt>
                <c:pt idx="7">
                  <c:v>9983142</c:v>
                </c:pt>
                <c:pt idx="8">
                  <c:v>9677449</c:v>
                </c:pt>
                <c:pt idx="9">
                  <c:v>7999423</c:v>
                </c:pt>
                <c:pt idx="10">
                  <c:v>6284564</c:v>
                </c:pt>
                <c:pt idx="11">
                  <c:v>6316999</c:v>
                </c:pt>
                <c:pt idx="12">
                  <c:v>7414947</c:v>
                </c:pt>
                <c:pt idx="13">
                  <c:v>1448771</c:v>
                </c:pt>
                <c:pt idx="14">
                  <c:v>12572738</c:v>
                </c:pt>
              </c:numCache>
            </c:numRef>
          </c:val>
        </c:ser>
        <c:ser>
          <c:idx val="2"/>
          <c:order val="2"/>
          <c:tx>
            <c:strRef>
              <c:f>SummaryStats!$K$1864</c:f>
              <c:strCache>
                <c:ptCount val="1"/>
                <c:pt idx="0">
                  <c:v>Property Expenses</c:v>
                </c:pt>
              </c:strCache>
            </c:strRef>
          </c:tx>
          <c:spPr>
            <a:solidFill>
              <a:schemeClr val="accent3"/>
            </a:solidFill>
          </c:spPr>
          <c:cat>
            <c:strRef>
              <c:f>SummaryStats!$C$1865:$C$1879</c:f>
              <c:strCache>
                <c:ptCount val="15"/>
                <c:pt idx="0">
                  <c:v>Up to 150</c:v>
                </c:pt>
                <c:pt idx="1">
                  <c:v>151-300</c:v>
                </c:pt>
                <c:pt idx="2">
                  <c:v>301-450</c:v>
                </c:pt>
                <c:pt idx="3">
                  <c:v>451-600</c:v>
                </c:pt>
                <c:pt idx="4">
                  <c:v>601-750</c:v>
                </c:pt>
                <c:pt idx="5">
                  <c:v>751-900</c:v>
                </c:pt>
                <c:pt idx="6">
                  <c:v>901-1050</c:v>
                </c:pt>
                <c:pt idx="7">
                  <c:v>1051-1200</c:v>
                </c:pt>
                <c:pt idx="8">
                  <c:v>1201-1350</c:v>
                </c:pt>
                <c:pt idx="9">
                  <c:v>1351-1500</c:v>
                </c:pt>
                <c:pt idx="10">
                  <c:v>1501-1650</c:v>
                </c:pt>
                <c:pt idx="11">
                  <c:v>1651-1800</c:v>
                </c:pt>
                <c:pt idx="12">
                  <c:v>1801-1950</c:v>
                </c:pt>
                <c:pt idx="13">
                  <c:v>1951-2100</c:v>
                </c:pt>
                <c:pt idx="14">
                  <c:v>over 2100</c:v>
                </c:pt>
              </c:strCache>
            </c:strRef>
          </c:cat>
          <c:val>
            <c:numRef>
              <c:f>SummaryStats!$K$1865:$K$1879</c:f>
              <c:numCache>
                <c:formatCode>_-* #,##0_-;\-* #,##0_-;_-* "-"??_-;_-@_-</c:formatCode>
                <c:ptCount val="15"/>
                <c:pt idx="0">
                  <c:v>551495</c:v>
                </c:pt>
                <c:pt idx="1">
                  <c:v>6838610</c:v>
                </c:pt>
                <c:pt idx="2">
                  <c:v>12184535</c:v>
                </c:pt>
                <c:pt idx="3">
                  <c:v>14970426</c:v>
                </c:pt>
                <c:pt idx="4">
                  <c:v>14303348</c:v>
                </c:pt>
                <c:pt idx="5">
                  <c:v>15169277</c:v>
                </c:pt>
                <c:pt idx="6">
                  <c:v>11305367</c:v>
                </c:pt>
                <c:pt idx="7">
                  <c:v>9831590</c:v>
                </c:pt>
                <c:pt idx="8">
                  <c:v>8025454</c:v>
                </c:pt>
                <c:pt idx="9">
                  <c:v>9091611</c:v>
                </c:pt>
                <c:pt idx="10">
                  <c:v>7487510</c:v>
                </c:pt>
                <c:pt idx="11">
                  <c:v>5426813</c:v>
                </c:pt>
                <c:pt idx="12">
                  <c:v>7898337</c:v>
                </c:pt>
                <c:pt idx="13">
                  <c:v>1176084</c:v>
                </c:pt>
                <c:pt idx="14">
                  <c:v>13479948</c:v>
                </c:pt>
              </c:numCache>
            </c:numRef>
          </c:val>
        </c:ser>
        <c:ser>
          <c:idx val="3"/>
          <c:order val="3"/>
          <c:tx>
            <c:strRef>
              <c:f>SummaryStats!$M$1864</c:f>
              <c:strCache>
                <c:ptCount val="1"/>
                <c:pt idx="0">
                  <c:v>All Other Expenses</c:v>
                </c:pt>
              </c:strCache>
            </c:strRef>
          </c:tx>
          <c:spPr>
            <a:solidFill>
              <a:schemeClr val="accent4"/>
            </a:solidFill>
          </c:spPr>
          <c:cat>
            <c:strRef>
              <c:f>SummaryStats!$C$1865:$C$1879</c:f>
              <c:strCache>
                <c:ptCount val="15"/>
                <c:pt idx="0">
                  <c:v>Up to 150</c:v>
                </c:pt>
                <c:pt idx="1">
                  <c:v>151-300</c:v>
                </c:pt>
                <c:pt idx="2">
                  <c:v>301-450</c:v>
                </c:pt>
                <c:pt idx="3">
                  <c:v>451-600</c:v>
                </c:pt>
                <c:pt idx="4">
                  <c:v>601-750</c:v>
                </c:pt>
                <c:pt idx="5">
                  <c:v>751-900</c:v>
                </c:pt>
                <c:pt idx="6">
                  <c:v>901-1050</c:v>
                </c:pt>
                <c:pt idx="7">
                  <c:v>1051-1200</c:v>
                </c:pt>
                <c:pt idx="8">
                  <c:v>1201-1350</c:v>
                </c:pt>
                <c:pt idx="9">
                  <c:v>1351-1500</c:v>
                </c:pt>
                <c:pt idx="10">
                  <c:v>1501-1650</c:v>
                </c:pt>
                <c:pt idx="11">
                  <c:v>1651-1800</c:v>
                </c:pt>
                <c:pt idx="12">
                  <c:v>1801-1950</c:v>
                </c:pt>
                <c:pt idx="13">
                  <c:v>1951-2100</c:v>
                </c:pt>
                <c:pt idx="14">
                  <c:v>over 2100</c:v>
                </c:pt>
              </c:strCache>
            </c:strRef>
          </c:cat>
          <c:val>
            <c:numRef>
              <c:f>SummaryStats!$M$1865:$M$1879</c:f>
              <c:numCache>
                <c:formatCode>_-* #,##0_-;\-* #,##0_-;_-* "-"??_-;_-@_-</c:formatCode>
                <c:ptCount val="15"/>
                <c:pt idx="0">
                  <c:v>465546</c:v>
                </c:pt>
                <c:pt idx="1">
                  <c:v>5807061</c:v>
                </c:pt>
                <c:pt idx="2">
                  <c:v>15551207</c:v>
                </c:pt>
                <c:pt idx="3">
                  <c:v>19205339</c:v>
                </c:pt>
                <c:pt idx="4">
                  <c:v>15374642</c:v>
                </c:pt>
                <c:pt idx="5">
                  <c:v>24333803</c:v>
                </c:pt>
                <c:pt idx="6">
                  <c:v>18590272</c:v>
                </c:pt>
                <c:pt idx="7">
                  <c:v>16260449</c:v>
                </c:pt>
                <c:pt idx="8">
                  <c:v>16397823</c:v>
                </c:pt>
                <c:pt idx="9">
                  <c:v>16057372</c:v>
                </c:pt>
                <c:pt idx="10">
                  <c:v>13024204</c:v>
                </c:pt>
                <c:pt idx="11">
                  <c:v>13407382</c:v>
                </c:pt>
                <c:pt idx="12">
                  <c:v>14044419</c:v>
                </c:pt>
                <c:pt idx="13">
                  <c:v>1193071</c:v>
                </c:pt>
                <c:pt idx="14">
                  <c:v>31674364</c:v>
                </c:pt>
              </c:numCache>
            </c:numRef>
          </c:val>
        </c:ser>
        <c:gapWidth val="40"/>
        <c:overlap val="100"/>
        <c:axId val="258135936"/>
        <c:axId val="271519744"/>
        <c:extLst/>
      </c:barChart>
      <c:catAx>
        <c:axId val="258135936"/>
        <c:scaling>
          <c:orientation val="minMax"/>
        </c:scaling>
        <c:axPos val="b"/>
        <c:title>
          <c:tx>
            <c:rich>
              <a:bodyPr/>
              <a:lstStyle/>
              <a:p>
                <a:pPr>
                  <a:defRPr/>
                </a:pPr>
                <a:r>
                  <a:rPr lang="en-NZ"/>
                  <a:t>Student Roll Sizes</a:t>
                </a:r>
              </a:p>
            </c:rich>
          </c:tx>
          <c:layout>
            <c:manualLayout>
              <c:xMode val="edge"/>
              <c:yMode val="edge"/>
              <c:x val="0.33127643294379538"/>
              <c:y val="0.91280005569479417"/>
            </c:manualLayout>
          </c:layout>
        </c:title>
        <c:numFmt formatCode="General" sourceLinked="0"/>
        <c:majorTickMark val="none"/>
        <c:tickLblPos val="nextTo"/>
        <c:txPr>
          <a:bodyPr rot="-5400000" vert="horz"/>
          <a:lstStyle/>
          <a:p>
            <a:pPr>
              <a:defRPr/>
            </a:pPr>
            <a:endParaRPr lang="en-US"/>
          </a:p>
        </c:txPr>
        <c:crossAx val="271519744"/>
        <c:crosses val="autoZero"/>
        <c:auto val="1"/>
        <c:lblAlgn val="ctr"/>
        <c:lblOffset val="100"/>
      </c:catAx>
      <c:valAx>
        <c:axId val="271519744"/>
        <c:scaling>
          <c:orientation val="minMax"/>
          <c:max val="1"/>
        </c:scaling>
        <c:axPos val="l"/>
        <c:majorGridlines>
          <c:spPr>
            <a:ln>
              <a:noFill/>
            </a:ln>
          </c:spPr>
        </c:majorGridlines>
        <c:numFmt formatCode="0%" sourceLinked="0"/>
        <c:majorTickMark val="none"/>
        <c:tickLblPos val="nextTo"/>
        <c:crossAx val="258135936"/>
        <c:crosses val="autoZero"/>
        <c:crossBetween val="between"/>
      </c:valAx>
    </c:plotArea>
    <c:legend>
      <c:legendPos val="r"/>
      <c:layout>
        <c:manualLayout>
          <c:xMode val="edge"/>
          <c:yMode val="edge"/>
          <c:x val="0.79224951458760662"/>
          <c:y val="0.19704643553327819"/>
          <c:w val="0.20775048541239471"/>
          <c:h val="0.68760883977138865"/>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5708774483408691"/>
          <c:y val="5.6417432470064054E-2"/>
          <c:w val="0.62202926963625904"/>
          <c:h val="0.63554229345848734"/>
        </c:manualLayout>
      </c:layout>
      <c:barChart>
        <c:barDir val="col"/>
        <c:grouping val="stacked"/>
        <c:ser>
          <c:idx val="1"/>
          <c:order val="0"/>
          <c:tx>
            <c:strRef>
              <c:f>SummaryStats!$I$1764</c:f>
              <c:strCache>
                <c:ptCount val="1"/>
                <c:pt idx="0">
                  <c:v>Expenditure on Learning Resources</c:v>
                </c:pt>
              </c:strCache>
            </c:strRef>
          </c:tx>
          <c:spPr>
            <a:solidFill>
              <a:schemeClr val="accent1"/>
            </a:solidFill>
          </c:spPr>
          <c:cat>
            <c:strRef>
              <c:f>SummaryStats!$C$1913:$C$1927</c:f>
              <c:strCache>
                <c:ptCount val="15"/>
                <c:pt idx="0">
                  <c:v>Up to 150</c:v>
                </c:pt>
                <c:pt idx="1">
                  <c:v>151-300</c:v>
                </c:pt>
                <c:pt idx="2">
                  <c:v>301-450</c:v>
                </c:pt>
                <c:pt idx="3">
                  <c:v>451-600</c:v>
                </c:pt>
                <c:pt idx="4">
                  <c:v>601-750</c:v>
                </c:pt>
                <c:pt idx="5">
                  <c:v>751-900</c:v>
                </c:pt>
                <c:pt idx="6">
                  <c:v>901-1050</c:v>
                </c:pt>
                <c:pt idx="7">
                  <c:v>1051-1200</c:v>
                </c:pt>
                <c:pt idx="8">
                  <c:v>1201-1350</c:v>
                </c:pt>
                <c:pt idx="9">
                  <c:v>1351-1500</c:v>
                </c:pt>
                <c:pt idx="10">
                  <c:v>1501-1650</c:v>
                </c:pt>
                <c:pt idx="11">
                  <c:v>1651-1800</c:v>
                </c:pt>
                <c:pt idx="12">
                  <c:v>1801-1950</c:v>
                </c:pt>
                <c:pt idx="13">
                  <c:v>1951-2100</c:v>
                </c:pt>
                <c:pt idx="14">
                  <c:v>over 2100</c:v>
                </c:pt>
              </c:strCache>
            </c:strRef>
          </c:cat>
          <c:val>
            <c:numRef>
              <c:f>SummaryStats!$I$1913:$I$1927</c:f>
              <c:numCache>
                <c:formatCode>_(* #,##0.00_);_(* \(#,##0.00\);_(* "-"??_);_(@_)</c:formatCode>
                <c:ptCount val="15"/>
                <c:pt idx="0">
                  <c:v>12414.734939759037</c:v>
                </c:pt>
                <c:pt idx="1">
                  <c:v>9895.1243175136569</c:v>
                </c:pt>
                <c:pt idx="2">
                  <c:v>9101.907616546283</c:v>
                </c:pt>
                <c:pt idx="3">
                  <c:v>7740.2230249725144</c:v>
                </c:pt>
                <c:pt idx="4">
                  <c:v>7709.0342128005695</c:v>
                </c:pt>
                <c:pt idx="5">
                  <c:v>6609.5250489784494</c:v>
                </c:pt>
                <c:pt idx="6">
                  <c:v>6520.0084759315505</c:v>
                </c:pt>
                <c:pt idx="7">
                  <c:v>6437.1239547795958</c:v>
                </c:pt>
                <c:pt idx="8">
                  <c:v>6316.8137852786795</c:v>
                </c:pt>
                <c:pt idx="9">
                  <c:v>6427.1051715243857</c:v>
                </c:pt>
                <c:pt idx="10">
                  <c:v>6152.3424366775316</c:v>
                </c:pt>
                <c:pt idx="11">
                  <c:v>6031.3337522962202</c:v>
                </c:pt>
                <c:pt idx="12">
                  <c:v>6022.2546534653584</c:v>
                </c:pt>
                <c:pt idx="13">
                  <c:v>5118.0604156597501</c:v>
                </c:pt>
                <c:pt idx="14">
                  <c:v>6023.8681644241615</c:v>
                </c:pt>
              </c:numCache>
            </c:numRef>
          </c:val>
        </c:ser>
        <c:ser>
          <c:idx val="0"/>
          <c:order val="1"/>
          <c:tx>
            <c:strRef>
              <c:f>SummaryStats!$G$1764</c:f>
              <c:strCache>
                <c:ptCount val="1"/>
                <c:pt idx="0">
                  <c:v>Administration Expenses (incl. Finance)</c:v>
                </c:pt>
              </c:strCache>
            </c:strRef>
          </c:tx>
          <c:spPr>
            <a:solidFill>
              <a:schemeClr val="accent2"/>
            </a:solidFill>
          </c:spPr>
          <c:cat>
            <c:strRef>
              <c:f>SummaryStats!$C$1913:$C$1927</c:f>
              <c:strCache>
                <c:ptCount val="15"/>
                <c:pt idx="0">
                  <c:v>Up to 150</c:v>
                </c:pt>
                <c:pt idx="1">
                  <c:v>151-300</c:v>
                </c:pt>
                <c:pt idx="2">
                  <c:v>301-450</c:v>
                </c:pt>
                <c:pt idx="3">
                  <c:v>451-600</c:v>
                </c:pt>
                <c:pt idx="4">
                  <c:v>601-750</c:v>
                </c:pt>
                <c:pt idx="5">
                  <c:v>751-900</c:v>
                </c:pt>
                <c:pt idx="6">
                  <c:v>901-1050</c:v>
                </c:pt>
                <c:pt idx="7">
                  <c:v>1051-1200</c:v>
                </c:pt>
                <c:pt idx="8">
                  <c:v>1201-1350</c:v>
                </c:pt>
                <c:pt idx="9">
                  <c:v>1351-1500</c:v>
                </c:pt>
                <c:pt idx="10">
                  <c:v>1501-1650</c:v>
                </c:pt>
                <c:pt idx="11">
                  <c:v>1651-1800</c:v>
                </c:pt>
                <c:pt idx="12">
                  <c:v>1801-1950</c:v>
                </c:pt>
                <c:pt idx="13">
                  <c:v>1951-2100</c:v>
                </c:pt>
                <c:pt idx="14">
                  <c:v>over 2100</c:v>
                </c:pt>
              </c:strCache>
            </c:strRef>
          </c:cat>
          <c:val>
            <c:numRef>
              <c:f>SummaryStats!$G$1913:$G$1927</c:f>
              <c:numCache>
                <c:formatCode>_(* #,##0.00_);_(* \(#,##0.00\);_(* "-"??_);_(@_)</c:formatCode>
                <c:ptCount val="15"/>
                <c:pt idx="0">
                  <c:v>1955.5734939759006</c:v>
                </c:pt>
                <c:pt idx="1">
                  <c:v>1132.8619627607461</c:v>
                </c:pt>
                <c:pt idx="2">
                  <c:v>866.79940906106503</c:v>
                </c:pt>
                <c:pt idx="3">
                  <c:v>787.17302759017855</c:v>
                </c:pt>
                <c:pt idx="4">
                  <c:v>674.16592954094847</c:v>
                </c:pt>
                <c:pt idx="5">
                  <c:v>636.42353364519772</c:v>
                </c:pt>
                <c:pt idx="6">
                  <c:v>630.42752811983416</c:v>
                </c:pt>
                <c:pt idx="7">
                  <c:v>667.81336544250439</c:v>
                </c:pt>
                <c:pt idx="8">
                  <c:v>686.24656077152179</c:v>
                </c:pt>
                <c:pt idx="9">
                  <c:v>515.82557389734336</c:v>
                </c:pt>
                <c:pt idx="10">
                  <c:v>444.64157351068349</c:v>
                </c:pt>
                <c:pt idx="11">
                  <c:v>610.7511360340327</c:v>
                </c:pt>
                <c:pt idx="12">
                  <c:v>489.43544554455423</c:v>
                </c:pt>
                <c:pt idx="13">
                  <c:v>700.22764620589658</c:v>
                </c:pt>
                <c:pt idx="14">
                  <c:v>517.33275727276441</c:v>
                </c:pt>
              </c:numCache>
            </c:numRef>
          </c:val>
        </c:ser>
        <c:ser>
          <c:idx val="2"/>
          <c:order val="2"/>
          <c:tx>
            <c:strRef>
              <c:f>SummaryStats!$K$1764</c:f>
              <c:strCache>
                <c:ptCount val="1"/>
                <c:pt idx="0">
                  <c:v>Property Expenses</c:v>
                </c:pt>
              </c:strCache>
            </c:strRef>
          </c:tx>
          <c:spPr>
            <a:solidFill>
              <a:schemeClr val="accent3"/>
            </a:solidFill>
          </c:spPr>
          <c:cat>
            <c:strRef>
              <c:f>SummaryStats!$C$1913:$C$1927</c:f>
              <c:strCache>
                <c:ptCount val="15"/>
                <c:pt idx="0">
                  <c:v>Up to 150</c:v>
                </c:pt>
                <c:pt idx="1">
                  <c:v>151-300</c:v>
                </c:pt>
                <c:pt idx="2">
                  <c:v>301-450</c:v>
                </c:pt>
                <c:pt idx="3">
                  <c:v>451-600</c:v>
                </c:pt>
                <c:pt idx="4">
                  <c:v>601-750</c:v>
                </c:pt>
                <c:pt idx="5">
                  <c:v>751-900</c:v>
                </c:pt>
                <c:pt idx="6">
                  <c:v>901-1050</c:v>
                </c:pt>
                <c:pt idx="7">
                  <c:v>1051-1200</c:v>
                </c:pt>
                <c:pt idx="8">
                  <c:v>1201-1350</c:v>
                </c:pt>
                <c:pt idx="9">
                  <c:v>1351-1500</c:v>
                </c:pt>
                <c:pt idx="10">
                  <c:v>1501-1650</c:v>
                </c:pt>
                <c:pt idx="11">
                  <c:v>1651-1800</c:v>
                </c:pt>
                <c:pt idx="12">
                  <c:v>1801-1950</c:v>
                </c:pt>
                <c:pt idx="13">
                  <c:v>1951-2100</c:v>
                </c:pt>
                <c:pt idx="14">
                  <c:v>over 2100</c:v>
                </c:pt>
              </c:strCache>
            </c:strRef>
          </c:cat>
          <c:val>
            <c:numRef>
              <c:f>SummaryStats!$K$1913:$K$1927</c:f>
              <c:numCache>
                <c:formatCode>_(* #,##0.00_);_(* \(#,##0.00\);_(* "-"??_);_(@_)</c:formatCode>
                <c:ptCount val="15"/>
                <c:pt idx="0">
                  <c:v>1328.9036144578308</c:v>
                </c:pt>
                <c:pt idx="1">
                  <c:v>957.38625227495447</c:v>
                </c:pt>
                <c:pt idx="2">
                  <c:v>800.03512803676949</c:v>
                </c:pt>
                <c:pt idx="3">
                  <c:v>783.75090309407847</c:v>
                </c:pt>
                <c:pt idx="4">
                  <c:v>727.12866656499421</c:v>
                </c:pt>
                <c:pt idx="5">
                  <c:v>606.50421814401648</c:v>
                </c:pt>
                <c:pt idx="6">
                  <c:v>602.66362812516638</c:v>
                </c:pt>
                <c:pt idx="7">
                  <c:v>657.67542979463508</c:v>
                </c:pt>
                <c:pt idx="8">
                  <c:v>569.10041128917885</c:v>
                </c:pt>
                <c:pt idx="9">
                  <c:v>586.25296621098789</c:v>
                </c:pt>
                <c:pt idx="10">
                  <c:v>529.75166265742178</c:v>
                </c:pt>
                <c:pt idx="11">
                  <c:v>524.68461761577839</c:v>
                </c:pt>
                <c:pt idx="12">
                  <c:v>521.34237623762374</c:v>
                </c:pt>
                <c:pt idx="13">
                  <c:v>568.43112614789743</c:v>
                </c:pt>
                <c:pt idx="14">
                  <c:v>554.66189359338341</c:v>
                </c:pt>
              </c:numCache>
            </c:numRef>
          </c:val>
        </c:ser>
        <c:ser>
          <c:idx val="3"/>
          <c:order val="3"/>
          <c:tx>
            <c:strRef>
              <c:f>SummaryStats!$M$1764</c:f>
              <c:strCache>
                <c:ptCount val="1"/>
                <c:pt idx="0">
                  <c:v>All Other Expenses</c:v>
                </c:pt>
              </c:strCache>
            </c:strRef>
          </c:tx>
          <c:spPr>
            <a:solidFill>
              <a:schemeClr val="accent4"/>
            </a:solidFill>
          </c:spPr>
          <c:cat>
            <c:strRef>
              <c:f>SummaryStats!$C$1913:$C$1927</c:f>
              <c:strCache>
                <c:ptCount val="15"/>
                <c:pt idx="0">
                  <c:v>Up to 150</c:v>
                </c:pt>
                <c:pt idx="1">
                  <c:v>151-300</c:v>
                </c:pt>
                <c:pt idx="2">
                  <c:v>301-450</c:v>
                </c:pt>
                <c:pt idx="3">
                  <c:v>451-600</c:v>
                </c:pt>
                <c:pt idx="4">
                  <c:v>601-750</c:v>
                </c:pt>
                <c:pt idx="5">
                  <c:v>751-900</c:v>
                </c:pt>
                <c:pt idx="6">
                  <c:v>901-1050</c:v>
                </c:pt>
                <c:pt idx="7">
                  <c:v>1051-1200</c:v>
                </c:pt>
                <c:pt idx="8">
                  <c:v>1201-1350</c:v>
                </c:pt>
                <c:pt idx="9">
                  <c:v>1351-1500</c:v>
                </c:pt>
                <c:pt idx="10">
                  <c:v>1501-1650</c:v>
                </c:pt>
                <c:pt idx="11">
                  <c:v>1651-1800</c:v>
                </c:pt>
                <c:pt idx="12">
                  <c:v>1801-1950</c:v>
                </c:pt>
                <c:pt idx="13">
                  <c:v>1951-2100</c:v>
                </c:pt>
                <c:pt idx="14">
                  <c:v>over 2100</c:v>
                </c:pt>
              </c:strCache>
            </c:strRef>
          </c:cat>
          <c:val>
            <c:numRef>
              <c:f>SummaryStats!$M$1913:$M$1927</c:f>
              <c:numCache>
                <c:formatCode>_(* #,##0.00_);_(* \(#,##0.00\);_(* "-"??_);_(@_)</c:formatCode>
                <c:ptCount val="15"/>
                <c:pt idx="0">
                  <c:v>1121.7975903614461</c:v>
                </c:pt>
                <c:pt idx="1">
                  <c:v>812.97228055438893</c:v>
                </c:pt>
                <c:pt idx="2">
                  <c:v>1021.0904136572567</c:v>
                </c:pt>
                <c:pt idx="3">
                  <c:v>1005.4624888749265</c:v>
                </c:pt>
                <c:pt idx="4">
                  <c:v>781.58924304814343</c:v>
                </c:pt>
                <c:pt idx="5">
                  <c:v>972.92403342529292</c:v>
                </c:pt>
                <c:pt idx="6">
                  <c:v>991.00549069779845</c:v>
                </c:pt>
                <c:pt idx="7">
                  <c:v>1087.728209244766</c:v>
                </c:pt>
                <c:pt idx="8">
                  <c:v>1162.8012338675358</c:v>
                </c:pt>
                <c:pt idx="9">
                  <c:v>1035.4250709311348</c:v>
                </c:pt>
                <c:pt idx="10">
                  <c:v>921.48040186783794</c:v>
                </c:pt>
                <c:pt idx="11">
                  <c:v>1296.2759354152581</c:v>
                </c:pt>
                <c:pt idx="12">
                  <c:v>927.02435643564343</c:v>
                </c:pt>
                <c:pt idx="13">
                  <c:v>576.64137264378951</c:v>
                </c:pt>
                <c:pt idx="14">
                  <c:v>1303.310866971156</c:v>
                </c:pt>
              </c:numCache>
            </c:numRef>
          </c:val>
        </c:ser>
        <c:gapWidth val="50"/>
        <c:overlap val="100"/>
        <c:axId val="271619584"/>
        <c:axId val="271621504"/>
        <c:extLst/>
      </c:barChart>
      <c:catAx>
        <c:axId val="271619584"/>
        <c:scaling>
          <c:orientation val="minMax"/>
        </c:scaling>
        <c:axPos val="b"/>
        <c:title>
          <c:tx>
            <c:rich>
              <a:bodyPr/>
              <a:lstStyle/>
              <a:p>
                <a:pPr>
                  <a:defRPr/>
                </a:pPr>
                <a:r>
                  <a:rPr lang="en-NZ"/>
                  <a:t>School Roll Sizes</a:t>
                </a:r>
              </a:p>
            </c:rich>
          </c:tx>
          <c:layout>
            <c:manualLayout>
              <c:xMode val="edge"/>
              <c:yMode val="edge"/>
              <c:x val="0.34600004637358561"/>
              <c:y val="0.93837440824282925"/>
            </c:manualLayout>
          </c:layout>
        </c:title>
        <c:numFmt formatCode="General" sourceLinked="0"/>
        <c:majorTickMark val="none"/>
        <c:tickLblPos val="nextTo"/>
        <c:txPr>
          <a:bodyPr rot="-5400000" vert="horz"/>
          <a:lstStyle/>
          <a:p>
            <a:pPr>
              <a:defRPr/>
            </a:pPr>
            <a:endParaRPr lang="en-US"/>
          </a:p>
        </c:txPr>
        <c:crossAx val="271621504"/>
        <c:crosses val="autoZero"/>
        <c:auto val="1"/>
        <c:lblAlgn val="ctr"/>
        <c:lblOffset val="100"/>
      </c:catAx>
      <c:valAx>
        <c:axId val="271621504"/>
        <c:scaling>
          <c:orientation val="minMax"/>
        </c:scaling>
        <c:axPos val="l"/>
        <c:majorGridlines>
          <c:spPr>
            <a:ln>
              <a:noFill/>
            </a:ln>
          </c:spPr>
        </c:majorGridlines>
        <c:numFmt formatCode="&quot;$&quot;#,##0" sourceLinked="0"/>
        <c:majorTickMark val="none"/>
        <c:tickLblPos val="nextTo"/>
        <c:crossAx val="271619584"/>
        <c:crosses val="autoZero"/>
        <c:crossBetween val="between"/>
      </c:valAx>
    </c:plotArea>
    <c:legend>
      <c:legendPos val="r"/>
      <c:layout>
        <c:manualLayout>
          <c:xMode val="edge"/>
          <c:yMode val="edge"/>
          <c:x val="0.78776464936646906"/>
          <c:y val="0.22357107937733178"/>
          <c:w val="0.21223534815955933"/>
          <c:h val="0.67995749001300176"/>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4174666110183676"/>
          <c:y val="9.112449978650973E-2"/>
          <c:w val="0.64720505357290725"/>
          <c:h val="0.75300252216827168"/>
        </c:manualLayout>
      </c:layout>
      <c:barChart>
        <c:barDir val="col"/>
        <c:grouping val="percentStacked"/>
        <c:ser>
          <c:idx val="0"/>
          <c:order val="0"/>
          <c:tx>
            <c:strRef>
              <c:f>SummaryStats!$I$1591</c:f>
              <c:strCache>
                <c:ptCount val="1"/>
                <c:pt idx="0">
                  <c:v>Expenditure on Learning Resources</c:v>
                </c:pt>
              </c:strCache>
            </c:strRef>
          </c:tx>
          <c:spPr>
            <a:solidFill>
              <a:schemeClr val="accent1"/>
            </a:solidFill>
          </c:spPr>
          <c:cat>
            <c:numRef>
              <c:f>SummaryStats!$B$1592:$B$1601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SummaryStats!$I$1890:$I$1899</c:f>
              <c:numCache>
                <c:formatCode>_-* #,##0_-;\-* #,##0_-;_-* "-"??_-;_-@_-</c:formatCode>
                <c:ptCount val="10"/>
                <c:pt idx="0">
                  <c:v>77158591</c:v>
                </c:pt>
                <c:pt idx="1">
                  <c:v>93674771</c:v>
                </c:pt>
                <c:pt idx="2">
                  <c:v>137587678</c:v>
                </c:pt>
                <c:pt idx="3">
                  <c:v>136717312</c:v>
                </c:pt>
                <c:pt idx="4">
                  <c:v>133627984</c:v>
                </c:pt>
                <c:pt idx="5">
                  <c:v>187008348</c:v>
                </c:pt>
                <c:pt idx="6">
                  <c:v>196794140</c:v>
                </c:pt>
                <c:pt idx="7">
                  <c:v>182911797</c:v>
                </c:pt>
                <c:pt idx="8">
                  <c:v>211337225</c:v>
                </c:pt>
                <c:pt idx="9">
                  <c:v>127290884</c:v>
                </c:pt>
              </c:numCache>
            </c:numRef>
          </c:val>
        </c:ser>
        <c:ser>
          <c:idx val="3"/>
          <c:order val="1"/>
          <c:tx>
            <c:strRef>
              <c:f>SummaryStats!$G$1591</c:f>
              <c:strCache>
                <c:ptCount val="1"/>
                <c:pt idx="0">
                  <c:v>Administration Expenses (incl. Finance)</c:v>
                </c:pt>
              </c:strCache>
            </c:strRef>
          </c:tx>
          <c:spPr>
            <a:solidFill>
              <a:schemeClr val="accent2"/>
            </a:solidFill>
          </c:spPr>
          <c:cat>
            <c:numRef>
              <c:f>SummaryStats!$B$1592:$B$1601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SummaryStats!$G$1890:$G$1899</c:f>
              <c:numCache>
                <c:formatCode>_-* #,##0_-;\-* #,##0_-;_-* "-"??_-;_-@_-</c:formatCode>
                <c:ptCount val="10"/>
                <c:pt idx="0">
                  <c:v>7027912</c:v>
                </c:pt>
                <c:pt idx="1">
                  <c:v>8409191</c:v>
                </c:pt>
                <c:pt idx="2">
                  <c:v>12878076</c:v>
                </c:pt>
                <c:pt idx="3">
                  <c:v>12803606</c:v>
                </c:pt>
                <c:pt idx="4">
                  <c:v>11006512</c:v>
                </c:pt>
                <c:pt idx="5">
                  <c:v>18412048</c:v>
                </c:pt>
                <c:pt idx="6">
                  <c:v>18164323</c:v>
                </c:pt>
                <c:pt idx="7">
                  <c:v>17178439</c:v>
                </c:pt>
                <c:pt idx="8">
                  <c:v>22804761</c:v>
                </c:pt>
                <c:pt idx="9">
                  <c:v>11159205</c:v>
                </c:pt>
              </c:numCache>
            </c:numRef>
          </c:val>
        </c:ser>
        <c:ser>
          <c:idx val="1"/>
          <c:order val="2"/>
          <c:tx>
            <c:strRef>
              <c:f>SummaryStats!$K$1591</c:f>
              <c:strCache>
                <c:ptCount val="1"/>
                <c:pt idx="0">
                  <c:v>Property Expenses</c:v>
                </c:pt>
              </c:strCache>
            </c:strRef>
          </c:tx>
          <c:spPr>
            <a:solidFill>
              <a:schemeClr val="accent3"/>
            </a:solidFill>
          </c:spPr>
          <c:cat>
            <c:numRef>
              <c:f>SummaryStats!$B$1592:$B$1601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SummaryStats!$K$1890:$K$1899</c:f>
              <c:numCache>
                <c:formatCode>_-* #,##0_-;\-* #,##0_-;_-* "-"??_-;_-@_-</c:formatCode>
                <c:ptCount val="10"/>
                <c:pt idx="0">
                  <c:v>6972530</c:v>
                </c:pt>
                <c:pt idx="1">
                  <c:v>8751809</c:v>
                </c:pt>
                <c:pt idx="2">
                  <c:v>13514893</c:v>
                </c:pt>
                <c:pt idx="3">
                  <c:v>12370310</c:v>
                </c:pt>
                <c:pt idx="4">
                  <c:v>11426747</c:v>
                </c:pt>
                <c:pt idx="5">
                  <c:v>18523553</c:v>
                </c:pt>
                <c:pt idx="6">
                  <c:v>18511534</c:v>
                </c:pt>
                <c:pt idx="7">
                  <c:v>15986678</c:v>
                </c:pt>
                <c:pt idx="8">
                  <c:v>19336402</c:v>
                </c:pt>
                <c:pt idx="9">
                  <c:v>12345949</c:v>
                </c:pt>
              </c:numCache>
            </c:numRef>
          </c:val>
        </c:ser>
        <c:ser>
          <c:idx val="2"/>
          <c:order val="3"/>
          <c:tx>
            <c:strRef>
              <c:f>SummaryStats!$M$1591</c:f>
              <c:strCache>
                <c:ptCount val="1"/>
                <c:pt idx="0">
                  <c:v>All Other Expenses</c:v>
                </c:pt>
              </c:strCache>
            </c:strRef>
          </c:tx>
          <c:spPr>
            <a:solidFill>
              <a:schemeClr val="accent4"/>
            </a:solidFill>
          </c:spPr>
          <c:cat>
            <c:numRef>
              <c:f>SummaryStats!$B$1592:$B$1601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SummaryStats!$M$1890:$M$1899</c:f>
              <c:numCache>
                <c:formatCode>_-* #,##0_-;\-* #,##0_-;_-* "-"??_-;_-@_-</c:formatCode>
                <c:ptCount val="10"/>
                <c:pt idx="0">
                  <c:v>6887777</c:v>
                </c:pt>
                <c:pt idx="1">
                  <c:v>8674242</c:v>
                </c:pt>
                <c:pt idx="2">
                  <c:v>14945136</c:v>
                </c:pt>
                <c:pt idx="3">
                  <c:v>17249613</c:v>
                </c:pt>
                <c:pt idx="4">
                  <c:v>18291474</c:v>
                </c:pt>
                <c:pt idx="5">
                  <c:v>29498079</c:v>
                </c:pt>
                <c:pt idx="6">
                  <c:v>30699406</c:v>
                </c:pt>
                <c:pt idx="7">
                  <c:v>28421660</c:v>
                </c:pt>
                <c:pt idx="8">
                  <c:v>45643189</c:v>
                </c:pt>
                <c:pt idx="9">
                  <c:v>21076378</c:v>
                </c:pt>
              </c:numCache>
            </c:numRef>
          </c:val>
        </c:ser>
        <c:gapWidth val="70"/>
        <c:overlap val="100"/>
        <c:axId val="271725696"/>
        <c:axId val="271727616"/>
        <c:extLst/>
      </c:barChart>
      <c:catAx>
        <c:axId val="271725696"/>
        <c:scaling>
          <c:orientation val="minMax"/>
        </c:scaling>
        <c:axPos val="b"/>
        <c:title>
          <c:tx>
            <c:rich>
              <a:bodyPr/>
              <a:lstStyle/>
              <a:p>
                <a:pPr>
                  <a:defRPr/>
                </a:pPr>
                <a:r>
                  <a:rPr lang="en-NZ"/>
                  <a:t>Decile</a:t>
                </a:r>
              </a:p>
            </c:rich>
          </c:tx>
          <c:layout>
            <c:manualLayout>
              <c:xMode val="edge"/>
              <c:yMode val="edge"/>
              <c:x val="0.39311560934891587"/>
              <c:y val="0.93048315232525758"/>
            </c:manualLayout>
          </c:layout>
        </c:title>
        <c:numFmt formatCode="General" sourceLinked="0"/>
        <c:majorTickMark val="none"/>
        <c:tickLblPos val="nextTo"/>
        <c:crossAx val="271727616"/>
        <c:crosses val="autoZero"/>
        <c:auto val="1"/>
        <c:lblAlgn val="ctr"/>
        <c:lblOffset val="100"/>
      </c:catAx>
      <c:valAx>
        <c:axId val="271727616"/>
        <c:scaling>
          <c:orientation val="minMax"/>
          <c:max val="1"/>
        </c:scaling>
        <c:axPos val="l"/>
        <c:majorGridlines>
          <c:spPr>
            <a:ln>
              <a:noFill/>
            </a:ln>
          </c:spPr>
        </c:majorGridlines>
        <c:numFmt formatCode="0%" sourceLinked="0"/>
        <c:majorTickMark val="none"/>
        <c:tickLblPos val="nextTo"/>
        <c:crossAx val="271725696"/>
        <c:crosses val="autoZero"/>
        <c:crossBetween val="between"/>
      </c:valAx>
    </c:plotArea>
    <c:legend>
      <c:legendPos val="r"/>
      <c:layout>
        <c:manualLayout>
          <c:xMode val="edge"/>
          <c:yMode val="edge"/>
          <c:x val="0.78768797556540682"/>
          <c:y val="0.20780746786883433"/>
          <c:w val="0.21231202443459321"/>
          <c:h val="0.71765492964739364"/>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lang val="en-NZ"/>
  <c:chart>
    <c:autoTitleDeleted val="1"/>
    <c:plotArea>
      <c:layout>
        <c:manualLayout>
          <c:layoutTarget val="inner"/>
          <c:xMode val="edge"/>
          <c:yMode val="edge"/>
          <c:x val="0.1544931367093311"/>
          <c:y val="8.4460804789752264E-2"/>
          <c:w val="0.62678527854597321"/>
          <c:h val="0.76677179058758282"/>
        </c:manualLayout>
      </c:layout>
      <c:barChart>
        <c:barDir val="col"/>
        <c:grouping val="stacked"/>
        <c:ser>
          <c:idx val="0"/>
          <c:order val="0"/>
          <c:tx>
            <c:strRef>
              <c:f>SummaryStats!$I$1789</c:f>
              <c:strCache>
                <c:ptCount val="1"/>
                <c:pt idx="0">
                  <c:v>Expenditure on Learning Resources</c:v>
                </c:pt>
              </c:strCache>
            </c:strRef>
          </c:tx>
          <c:spPr>
            <a:solidFill>
              <a:schemeClr val="accent1"/>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SummaryStats!$I$1938:$I$1947</c:f>
              <c:numCache>
                <c:formatCode>_(* #,##0.00_);_(* \(#,##0.00\);_(* "-"??_);_(@_)</c:formatCode>
                <c:ptCount val="10"/>
                <c:pt idx="0">
                  <c:v>7973.3999173297507</c:v>
                </c:pt>
                <c:pt idx="1">
                  <c:v>8402.8319878005022</c:v>
                </c:pt>
                <c:pt idx="2">
                  <c:v>7522.9743561703635</c:v>
                </c:pt>
                <c:pt idx="3">
                  <c:v>7439.183371422353</c:v>
                </c:pt>
                <c:pt idx="4">
                  <c:v>7367.2942992612234</c:v>
                </c:pt>
                <c:pt idx="5">
                  <c:v>6521.8786356978444</c:v>
                </c:pt>
                <c:pt idx="6">
                  <c:v>6486.7209440305924</c:v>
                </c:pt>
                <c:pt idx="7">
                  <c:v>6445.3221396102936</c:v>
                </c:pt>
                <c:pt idx="8">
                  <c:v>6361.9381980191965</c:v>
                </c:pt>
                <c:pt idx="9">
                  <c:v>6478.5669788273644</c:v>
                </c:pt>
              </c:numCache>
            </c:numRef>
          </c:val>
        </c:ser>
        <c:ser>
          <c:idx val="3"/>
          <c:order val="1"/>
          <c:tx>
            <c:strRef>
              <c:f>SummaryStats!$G$1789</c:f>
              <c:strCache>
                <c:ptCount val="1"/>
                <c:pt idx="0">
                  <c:v>Administration Expenses (incl. Finance)</c:v>
                </c:pt>
              </c:strCache>
            </c:strRef>
          </c:tx>
          <c:spPr>
            <a:solidFill>
              <a:schemeClr val="accent2"/>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SummaryStats!$G$1938:$G$1947</c:f>
              <c:numCache>
                <c:formatCode>_(* #,##0.00_);_(* \(#,##0.00\);_(* "-"??_);_(@_)</c:formatCode>
                <c:ptCount val="10"/>
                <c:pt idx="0">
                  <c:v>726.2490441252454</c:v>
                </c:pt>
                <c:pt idx="1">
                  <c:v>754.32283817725158</c:v>
                </c:pt>
                <c:pt idx="2">
                  <c:v>704.14325550877572</c:v>
                </c:pt>
                <c:pt idx="3">
                  <c:v>696.68114049406847</c:v>
                </c:pt>
                <c:pt idx="4">
                  <c:v>606.82059764031317</c:v>
                </c:pt>
                <c:pt idx="5">
                  <c:v>642.11648183022942</c:v>
                </c:pt>
                <c:pt idx="6">
                  <c:v>598.73172259212868</c:v>
                </c:pt>
                <c:pt idx="7">
                  <c:v>605.32221008491842</c:v>
                </c:pt>
                <c:pt idx="8">
                  <c:v>686.49751648153006</c:v>
                </c:pt>
                <c:pt idx="9">
                  <c:v>567.95628053745929</c:v>
                </c:pt>
              </c:numCache>
            </c:numRef>
          </c:val>
        </c:ser>
        <c:ser>
          <c:idx val="1"/>
          <c:order val="2"/>
          <c:tx>
            <c:strRef>
              <c:f>SummaryStats!$K$1789</c:f>
              <c:strCache>
                <c:ptCount val="1"/>
                <c:pt idx="0">
                  <c:v>Property Expenses</c:v>
                </c:pt>
              </c:strCache>
            </c:strRef>
          </c:tx>
          <c:spPr>
            <a:solidFill>
              <a:schemeClr val="accent3"/>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SummaryStats!$K$1938:$K$1947</c:f>
              <c:numCache>
                <c:formatCode>_(* #,##0.00_);_(* \(#,##0.00\);_(* "-"??_);_(@_)</c:formatCode>
                <c:ptCount val="10"/>
                <c:pt idx="0">
                  <c:v>720.52598945954321</c:v>
                </c:pt>
                <c:pt idx="1">
                  <c:v>785.05642267671328</c:v>
                </c:pt>
                <c:pt idx="2">
                  <c:v>738.96292853627847</c:v>
                </c:pt>
                <c:pt idx="3">
                  <c:v>673.10425508760477</c:v>
                </c:pt>
                <c:pt idx="4">
                  <c:v>629.98935935604936</c:v>
                </c:pt>
                <c:pt idx="5">
                  <c:v>646.00519634512102</c:v>
                </c:pt>
                <c:pt idx="6">
                  <c:v>610.17647834399224</c:v>
                </c:pt>
                <c:pt idx="7">
                  <c:v>563.3277423446915</c:v>
                </c:pt>
                <c:pt idx="8">
                  <c:v>582.08862398025224</c:v>
                </c:pt>
                <c:pt idx="9">
                  <c:v>628.35652483713238</c:v>
                </c:pt>
              </c:numCache>
            </c:numRef>
          </c:val>
        </c:ser>
        <c:ser>
          <c:idx val="2"/>
          <c:order val="3"/>
          <c:tx>
            <c:strRef>
              <c:f>SummaryStats!$M$1789</c:f>
              <c:strCache>
                <c:ptCount val="1"/>
                <c:pt idx="0">
                  <c:v>All Other Expenses</c:v>
                </c:pt>
              </c:strCache>
            </c:strRef>
          </c:tx>
          <c:spPr>
            <a:solidFill>
              <a:schemeClr val="accent4"/>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SummaryStats!$M$1938:$M$1947</c:f>
              <c:numCache>
                <c:formatCode>_(* #,##0.00_);_(* \(#,##0.00\);_(* "-"??_);_(@_)</c:formatCode>
                <c:ptCount val="10"/>
                <c:pt idx="0">
                  <c:v>711.76779993799755</c:v>
                </c:pt>
                <c:pt idx="1">
                  <c:v>778.09849300322935</c:v>
                </c:pt>
                <c:pt idx="2">
                  <c:v>817.16529061184292</c:v>
                </c:pt>
                <c:pt idx="3">
                  <c:v>938.60120796604781</c:v>
                </c:pt>
                <c:pt idx="4">
                  <c:v>1008.4614621237164</c:v>
                </c:pt>
                <c:pt idx="5">
                  <c:v>1028.739589872358</c:v>
                </c:pt>
                <c:pt idx="6">
                  <c:v>1011.9126508009733</c:v>
                </c:pt>
                <c:pt idx="7">
                  <c:v>1001.5032242150884</c:v>
                </c:pt>
                <c:pt idx="8">
                  <c:v>1374.0085192209281</c:v>
                </c:pt>
                <c:pt idx="9">
                  <c:v>1072.6983916938098</c:v>
                </c:pt>
              </c:numCache>
            </c:numRef>
          </c:val>
        </c:ser>
        <c:gapWidth val="50"/>
        <c:overlap val="100"/>
        <c:axId val="271753984"/>
        <c:axId val="271755904"/>
        <c:extLst/>
      </c:barChart>
      <c:catAx>
        <c:axId val="271753984"/>
        <c:scaling>
          <c:orientation val="minMax"/>
        </c:scaling>
        <c:axPos val="b"/>
        <c:title>
          <c:tx>
            <c:rich>
              <a:bodyPr/>
              <a:lstStyle/>
              <a:p>
                <a:pPr>
                  <a:defRPr/>
                </a:pPr>
                <a:r>
                  <a:rPr lang="en-NZ"/>
                  <a:t>Decile</a:t>
                </a:r>
              </a:p>
            </c:rich>
          </c:tx>
          <c:layout>
            <c:manualLayout>
              <c:xMode val="edge"/>
              <c:yMode val="edge"/>
              <c:x val="0.40194977740678905"/>
              <c:y val="0.92197333611807508"/>
            </c:manualLayout>
          </c:layout>
        </c:title>
        <c:numFmt formatCode="General" sourceLinked="0"/>
        <c:majorTickMark val="none"/>
        <c:tickLblPos val="nextTo"/>
        <c:crossAx val="271755904"/>
        <c:crosses val="autoZero"/>
        <c:auto val="1"/>
        <c:lblAlgn val="ctr"/>
        <c:lblOffset val="100"/>
      </c:catAx>
      <c:valAx>
        <c:axId val="271755904"/>
        <c:scaling>
          <c:orientation val="minMax"/>
        </c:scaling>
        <c:axPos val="l"/>
        <c:majorGridlines>
          <c:spPr>
            <a:ln>
              <a:noFill/>
            </a:ln>
          </c:spPr>
        </c:majorGridlines>
        <c:numFmt formatCode="&quot;$&quot;#,##0" sourceLinked="0"/>
        <c:majorTickMark val="none"/>
        <c:tickLblPos val="nextTo"/>
        <c:crossAx val="271753984"/>
        <c:crosses val="autoZero"/>
        <c:crossBetween val="between"/>
      </c:valAx>
      <c:spPr>
        <a:ln>
          <a:noFill/>
        </a:ln>
      </c:spPr>
    </c:plotArea>
    <c:legend>
      <c:legendPos val="r"/>
      <c:layout>
        <c:manualLayout>
          <c:xMode val="edge"/>
          <c:yMode val="edge"/>
          <c:x val="0.78621116106419797"/>
          <c:y val="0.22357107937733178"/>
          <c:w val="0.21378883893580236"/>
          <c:h val="0.70269040657198834"/>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NZ"/>
  <c:chart>
    <c:plotArea>
      <c:layout/>
      <c:scatterChart>
        <c:scatterStyle val="lineMarker"/>
        <c:ser>
          <c:idx val="0"/>
          <c:order val="0"/>
          <c:spPr>
            <a:ln w="28575">
              <a:noFill/>
            </a:ln>
          </c:spPr>
          <c:xVal>
            <c:numRef>
              <c:f>Analysis!$CJ$1913:$CJ$2074</c:f>
              <c:numCache>
                <c:formatCode>General</c:formatCode>
                <c:ptCount val="162"/>
                <c:pt idx="0">
                  <c:v>512</c:v>
                </c:pt>
                <c:pt idx="1">
                  <c:v>540</c:v>
                </c:pt>
                <c:pt idx="2">
                  <c:v>508</c:v>
                </c:pt>
                <c:pt idx="3">
                  <c:v>514</c:v>
                </c:pt>
                <c:pt idx="4">
                  <c:v>517</c:v>
                </c:pt>
                <c:pt idx="5">
                  <c:v>520</c:v>
                </c:pt>
                <c:pt idx="6">
                  <c:v>523</c:v>
                </c:pt>
                <c:pt idx="7">
                  <c:v>534</c:v>
                </c:pt>
                <c:pt idx="8">
                  <c:v>530</c:v>
                </c:pt>
                <c:pt idx="9">
                  <c:v>545</c:v>
                </c:pt>
                <c:pt idx="10">
                  <c:v>569</c:v>
                </c:pt>
                <c:pt idx="11">
                  <c:v>549</c:v>
                </c:pt>
                <c:pt idx="12">
                  <c:v>549</c:v>
                </c:pt>
                <c:pt idx="13">
                  <c:v>557</c:v>
                </c:pt>
                <c:pt idx="14">
                  <c:v>567</c:v>
                </c:pt>
                <c:pt idx="15">
                  <c:v>575</c:v>
                </c:pt>
                <c:pt idx="16">
                  <c:v>594</c:v>
                </c:pt>
                <c:pt idx="17">
                  <c:v>623</c:v>
                </c:pt>
                <c:pt idx="18">
                  <c:v>593</c:v>
                </c:pt>
                <c:pt idx="19">
                  <c:v>592</c:v>
                </c:pt>
                <c:pt idx="20">
                  <c:v>625</c:v>
                </c:pt>
                <c:pt idx="21">
                  <c:v>619</c:v>
                </c:pt>
                <c:pt idx="22">
                  <c:v>620</c:v>
                </c:pt>
                <c:pt idx="23">
                  <c:v>622</c:v>
                </c:pt>
                <c:pt idx="24">
                  <c:v>629</c:v>
                </c:pt>
                <c:pt idx="25">
                  <c:v>631</c:v>
                </c:pt>
                <c:pt idx="26">
                  <c:v>638</c:v>
                </c:pt>
                <c:pt idx="27">
                  <c:v>635</c:v>
                </c:pt>
                <c:pt idx="28">
                  <c:v>644</c:v>
                </c:pt>
                <c:pt idx="29">
                  <c:v>657</c:v>
                </c:pt>
                <c:pt idx="30">
                  <c:v>664</c:v>
                </c:pt>
                <c:pt idx="31">
                  <c:v>667</c:v>
                </c:pt>
                <c:pt idx="32">
                  <c:v>670</c:v>
                </c:pt>
                <c:pt idx="33">
                  <c:v>703</c:v>
                </c:pt>
                <c:pt idx="34">
                  <c:v>705</c:v>
                </c:pt>
                <c:pt idx="35">
                  <c:v>694</c:v>
                </c:pt>
                <c:pt idx="36">
                  <c:v>708</c:v>
                </c:pt>
                <c:pt idx="37">
                  <c:v>721</c:v>
                </c:pt>
                <c:pt idx="38">
                  <c:v>700</c:v>
                </c:pt>
                <c:pt idx="39">
                  <c:v>707</c:v>
                </c:pt>
                <c:pt idx="40">
                  <c:v>722</c:v>
                </c:pt>
                <c:pt idx="41">
                  <c:v>732</c:v>
                </c:pt>
                <c:pt idx="42">
                  <c:v>732</c:v>
                </c:pt>
                <c:pt idx="43">
                  <c:v>739</c:v>
                </c:pt>
                <c:pt idx="44">
                  <c:v>726</c:v>
                </c:pt>
                <c:pt idx="45">
                  <c:v>749</c:v>
                </c:pt>
                <c:pt idx="46">
                  <c:v>775</c:v>
                </c:pt>
                <c:pt idx="47">
                  <c:v>764</c:v>
                </c:pt>
                <c:pt idx="48">
                  <c:v>756</c:v>
                </c:pt>
                <c:pt idx="49">
                  <c:v>772</c:v>
                </c:pt>
                <c:pt idx="50">
                  <c:v>759</c:v>
                </c:pt>
                <c:pt idx="51">
                  <c:v>773</c:v>
                </c:pt>
                <c:pt idx="52">
                  <c:v>768</c:v>
                </c:pt>
                <c:pt idx="53">
                  <c:v>772</c:v>
                </c:pt>
                <c:pt idx="54">
                  <c:v>804</c:v>
                </c:pt>
                <c:pt idx="55">
                  <c:v>800</c:v>
                </c:pt>
                <c:pt idx="56">
                  <c:v>804</c:v>
                </c:pt>
                <c:pt idx="57">
                  <c:v>785</c:v>
                </c:pt>
                <c:pt idx="58">
                  <c:v>818</c:v>
                </c:pt>
                <c:pt idx="59">
                  <c:v>799</c:v>
                </c:pt>
                <c:pt idx="60">
                  <c:v>813</c:v>
                </c:pt>
                <c:pt idx="61">
                  <c:v>827</c:v>
                </c:pt>
                <c:pt idx="62">
                  <c:v>817</c:v>
                </c:pt>
                <c:pt idx="63">
                  <c:v>847</c:v>
                </c:pt>
                <c:pt idx="64">
                  <c:v>823</c:v>
                </c:pt>
                <c:pt idx="65">
                  <c:v>845</c:v>
                </c:pt>
                <c:pt idx="66">
                  <c:v>837</c:v>
                </c:pt>
                <c:pt idx="67">
                  <c:v>869</c:v>
                </c:pt>
                <c:pt idx="68">
                  <c:v>835</c:v>
                </c:pt>
                <c:pt idx="69">
                  <c:v>877</c:v>
                </c:pt>
                <c:pt idx="70">
                  <c:v>852</c:v>
                </c:pt>
                <c:pt idx="71">
                  <c:v>844</c:v>
                </c:pt>
                <c:pt idx="72">
                  <c:v>931</c:v>
                </c:pt>
                <c:pt idx="73">
                  <c:v>851</c:v>
                </c:pt>
                <c:pt idx="74">
                  <c:v>871</c:v>
                </c:pt>
                <c:pt idx="75">
                  <c:v>915</c:v>
                </c:pt>
                <c:pt idx="76">
                  <c:v>906</c:v>
                </c:pt>
                <c:pt idx="77">
                  <c:v>906</c:v>
                </c:pt>
                <c:pt idx="78">
                  <c:v>947</c:v>
                </c:pt>
                <c:pt idx="79">
                  <c:v>942</c:v>
                </c:pt>
                <c:pt idx="80">
                  <c:v>983</c:v>
                </c:pt>
                <c:pt idx="81">
                  <c:v>964</c:v>
                </c:pt>
                <c:pt idx="82">
                  <c:v>999</c:v>
                </c:pt>
                <c:pt idx="83">
                  <c:v>1013</c:v>
                </c:pt>
                <c:pt idx="84">
                  <c:v>1002</c:v>
                </c:pt>
                <c:pt idx="85">
                  <c:v>1004</c:v>
                </c:pt>
                <c:pt idx="86">
                  <c:v>1013</c:v>
                </c:pt>
                <c:pt idx="87">
                  <c:v>999</c:v>
                </c:pt>
                <c:pt idx="88">
                  <c:v>1033</c:v>
                </c:pt>
                <c:pt idx="89">
                  <c:v>1024</c:v>
                </c:pt>
                <c:pt idx="90">
                  <c:v>1040</c:v>
                </c:pt>
                <c:pt idx="91">
                  <c:v>1053</c:v>
                </c:pt>
                <c:pt idx="92">
                  <c:v>1057</c:v>
                </c:pt>
                <c:pt idx="93">
                  <c:v>1064</c:v>
                </c:pt>
                <c:pt idx="94">
                  <c:v>1081</c:v>
                </c:pt>
                <c:pt idx="95">
                  <c:v>1100</c:v>
                </c:pt>
                <c:pt idx="96">
                  <c:v>1126</c:v>
                </c:pt>
                <c:pt idx="97">
                  <c:v>1172</c:v>
                </c:pt>
                <c:pt idx="98">
                  <c:v>1132</c:v>
                </c:pt>
                <c:pt idx="99">
                  <c:v>1207</c:v>
                </c:pt>
                <c:pt idx="100">
                  <c:v>1169</c:v>
                </c:pt>
                <c:pt idx="101">
                  <c:v>1196</c:v>
                </c:pt>
                <c:pt idx="102">
                  <c:v>1170</c:v>
                </c:pt>
                <c:pt idx="103">
                  <c:v>1152</c:v>
                </c:pt>
                <c:pt idx="104">
                  <c:v>1225</c:v>
                </c:pt>
                <c:pt idx="105">
                  <c:v>1183</c:v>
                </c:pt>
                <c:pt idx="106">
                  <c:v>1206</c:v>
                </c:pt>
                <c:pt idx="107">
                  <c:v>1201</c:v>
                </c:pt>
                <c:pt idx="108">
                  <c:v>1212</c:v>
                </c:pt>
                <c:pt idx="109">
                  <c:v>1243</c:v>
                </c:pt>
                <c:pt idx="110">
                  <c:v>1302</c:v>
                </c:pt>
                <c:pt idx="111">
                  <c:v>1272</c:v>
                </c:pt>
                <c:pt idx="112">
                  <c:v>1337</c:v>
                </c:pt>
                <c:pt idx="113">
                  <c:v>1319</c:v>
                </c:pt>
                <c:pt idx="114">
                  <c:v>1356</c:v>
                </c:pt>
                <c:pt idx="115">
                  <c:v>1378</c:v>
                </c:pt>
                <c:pt idx="116">
                  <c:v>1375</c:v>
                </c:pt>
                <c:pt idx="117">
                  <c:v>1396</c:v>
                </c:pt>
                <c:pt idx="118">
                  <c:v>1365</c:v>
                </c:pt>
                <c:pt idx="119">
                  <c:v>1392</c:v>
                </c:pt>
                <c:pt idx="120">
                  <c:v>1411</c:v>
                </c:pt>
                <c:pt idx="121">
                  <c:v>1382</c:v>
                </c:pt>
                <c:pt idx="122">
                  <c:v>1419</c:v>
                </c:pt>
                <c:pt idx="123">
                  <c:v>1403</c:v>
                </c:pt>
                <c:pt idx="124">
                  <c:v>1485</c:v>
                </c:pt>
                <c:pt idx="125">
                  <c:v>1527</c:v>
                </c:pt>
                <c:pt idx="126">
                  <c:v>1539</c:v>
                </c:pt>
                <c:pt idx="127">
                  <c:v>1503</c:v>
                </c:pt>
                <c:pt idx="128">
                  <c:v>1544</c:v>
                </c:pt>
                <c:pt idx="129">
                  <c:v>1508</c:v>
                </c:pt>
                <c:pt idx="130">
                  <c:v>1553</c:v>
                </c:pt>
                <c:pt idx="131">
                  <c:v>1612</c:v>
                </c:pt>
                <c:pt idx="132">
                  <c:v>1635</c:v>
                </c:pt>
                <c:pt idx="133">
                  <c:v>1648</c:v>
                </c:pt>
                <c:pt idx="134">
                  <c:v>1634</c:v>
                </c:pt>
                <c:pt idx="135">
                  <c:v>1643</c:v>
                </c:pt>
                <c:pt idx="136">
                  <c:v>1666</c:v>
                </c:pt>
                <c:pt idx="137">
                  <c:v>1732</c:v>
                </c:pt>
                <c:pt idx="138">
                  <c:v>1877</c:v>
                </c:pt>
                <c:pt idx="139">
                  <c:v>1846</c:v>
                </c:pt>
                <c:pt idx="140">
                  <c:v>1779</c:v>
                </c:pt>
                <c:pt idx="141">
                  <c:v>1787</c:v>
                </c:pt>
                <c:pt idx="142">
                  <c:v>1841</c:v>
                </c:pt>
                <c:pt idx="143">
                  <c:v>1897</c:v>
                </c:pt>
                <c:pt idx="144">
                  <c:v>1982</c:v>
                </c:pt>
                <c:pt idx="145">
                  <c:v>1946</c:v>
                </c:pt>
                <c:pt idx="146">
                  <c:v>1911</c:v>
                </c:pt>
                <c:pt idx="147">
                  <c:v>1945</c:v>
                </c:pt>
                <c:pt idx="148">
                  <c:v>2002</c:v>
                </c:pt>
                <c:pt idx="149">
                  <c:v>1947</c:v>
                </c:pt>
                <c:pt idx="150">
                  <c:v>2010</c:v>
                </c:pt>
                <c:pt idx="151">
                  <c:v>2073</c:v>
                </c:pt>
                <c:pt idx="152">
                  <c:v>2273</c:v>
                </c:pt>
                <c:pt idx="153">
                  <c:v>2243</c:v>
                </c:pt>
                <c:pt idx="154">
                  <c:v>2370</c:v>
                </c:pt>
                <c:pt idx="155">
                  <c:v>2342</c:v>
                </c:pt>
                <c:pt idx="156">
                  <c:v>2435</c:v>
                </c:pt>
                <c:pt idx="157">
                  <c:v>2618</c:v>
                </c:pt>
                <c:pt idx="158">
                  <c:v>2857</c:v>
                </c:pt>
                <c:pt idx="159">
                  <c:v>2724</c:v>
                </c:pt>
                <c:pt idx="160">
                  <c:v>2832</c:v>
                </c:pt>
                <c:pt idx="161">
                  <c:v>3280</c:v>
                </c:pt>
              </c:numCache>
            </c:numRef>
          </c:xVal>
          <c:yVal>
            <c:numRef>
              <c:f>Analysis!$CK$1913:$CK$2074</c:f>
              <c:numCache>
                <c:formatCode>_("$"* #,##0_);_("$"* \(#,##0\);_("$"* "-"??_);_(@_)</c:formatCode>
                <c:ptCount val="162"/>
                <c:pt idx="0">
                  <c:v>9646.9740518962262</c:v>
                </c:pt>
                <c:pt idx="1">
                  <c:v>11485.888446215138</c:v>
                </c:pt>
                <c:pt idx="2">
                  <c:v>10503.312871287108</c:v>
                </c:pt>
                <c:pt idx="3">
                  <c:v>9678.6941176470391</c:v>
                </c:pt>
                <c:pt idx="4">
                  <c:v>10510.000000000002</c:v>
                </c:pt>
                <c:pt idx="5">
                  <c:v>10712.659615384597</c:v>
                </c:pt>
                <c:pt idx="6">
                  <c:v>8967.734225621416</c:v>
                </c:pt>
                <c:pt idx="7">
                  <c:v>10366.690702087286</c:v>
                </c:pt>
                <c:pt idx="8">
                  <c:v>10191.732075471698</c:v>
                </c:pt>
                <c:pt idx="9">
                  <c:v>10720.900735294103</c:v>
                </c:pt>
                <c:pt idx="10">
                  <c:v>9223.4458715596338</c:v>
                </c:pt>
                <c:pt idx="11">
                  <c:v>8866.2532110091743</c:v>
                </c:pt>
                <c:pt idx="12">
                  <c:v>8939.9489051094879</c:v>
                </c:pt>
                <c:pt idx="13">
                  <c:v>11710.091561938958</c:v>
                </c:pt>
                <c:pt idx="14">
                  <c:v>11478.191413237924</c:v>
                </c:pt>
                <c:pt idx="15">
                  <c:v>10528.652021089631</c:v>
                </c:pt>
                <c:pt idx="16">
                  <c:v>8555.2849650349708</c:v>
                </c:pt>
                <c:pt idx="17">
                  <c:v>10870.946551724137</c:v>
                </c:pt>
                <c:pt idx="18">
                  <c:v>9274.1256454388931</c:v>
                </c:pt>
                <c:pt idx="19">
                  <c:v>10026.489864864865</c:v>
                </c:pt>
                <c:pt idx="20">
                  <c:v>9218.9597989949671</c:v>
                </c:pt>
                <c:pt idx="21">
                  <c:v>9165.1585760517792</c:v>
                </c:pt>
                <c:pt idx="22">
                  <c:v>9793.3435483870981</c:v>
                </c:pt>
                <c:pt idx="23">
                  <c:v>9700.1370967741932</c:v>
                </c:pt>
                <c:pt idx="24">
                  <c:v>11515.359300476945</c:v>
                </c:pt>
                <c:pt idx="25">
                  <c:v>7954.7702060221882</c:v>
                </c:pt>
                <c:pt idx="26">
                  <c:v>9578.1139240506291</c:v>
                </c:pt>
                <c:pt idx="27">
                  <c:v>9721.8895899053423</c:v>
                </c:pt>
                <c:pt idx="28">
                  <c:v>9342.9247648902929</c:v>
                </c:pt>
                <c:pt idx="29">
                  <c:v>9569.4314329738063</c:v>
                </c:pt>
                <c:pt idx="30">
                  <c:v>9618.6641566265043</c:v>
                </c:pt>
                <c:pt idx="31">
                  <c:v>8351.3058470764609</c:v>
                </c:pt>
                <c:pt idx="32">
                  <c:v>10459.073134328341</c:v>
                </c:pt>
                <c:pt idx="33">
                  <c:v>10311.444444444454</c:v>
                </c:pt>
                <c:pt idx="34">
                  <c:v>9693.8291970802675</c:v>
                </c:pt>
                <c:pt idx="35">
                  <c:v>9238.324599708867</c:v>
                </c:pt>
                <c:pt idx="36">
                  <c:v>9200.6260869565249</c:v>
                </c:pt>
                <c:pt idx="37">
                  <c:v>9289.4043478261083</c:v>
                </c:pt>
                <c:pt idx="38">
                  <c:v>10235.649999999991</c:v>
                </c:pt>
                <c:pt idx="39">
                  <c:v>11392.126600284477</c:v>
                </c:pt>
                <c:pt idx="40">
                  <c:v>10729.404761904772</c:v>
                </c:pt>
                <c:pt idx="41">
                  <c:v>11155.326388888889</c:v>
                </c:pt>
                <c:pt idx="42">
                  <c:v>9914.571230982001</c:v>
                </c:pt>
                <c:pt idx="43">
                  <c:v>9146.9475862068975</c:v>
                </c:pt>
                <c:pt idx="44">
                  <c:v>8867.9724517906343</c:v>
                </c:pt>
                <c:pt idx="45">
                  <c:v>8264.7815013404888</c:v>
                </c:pt>
                <c:pt idx="46">
                  <c:v>9733.8048128342289</c:v>
                </c:pt>
                <c:pt idx="47">
                  <c:v>9798.2895086321387</c:v>
                </c:pt>
                <c:pt idx="48">
                  <c:v>9118.511904761901</c:v>
                </c:pt>
                <c:pt idx="49">
                  <c:v>8458.438735177866</c:v>
                </c:pt>
                <c:pt idx="50">
                  <c:v>8530.7812911726196</c:v>
                </c:pt>
                <c:pt idx="51">
                  <c:v>8950.7615283267569</c:v>
                </c:pt>
                <c:pt idx="52">
                  <c:v>9173.9491525423746</c:v>
                </c:pt>
                <c:pt idx="53">
                  <c:v>8535.0259067357511</c:v>
                </c:pt>
                <c:pt idx="54">
                  <c:v>9797.9755154638733</c:v>
                </c:pt>
                <c:pt idx="55">
                  <c:v>9376.1776061776054</c:v>
                </c:pt>
                <c:pt idx="56">
                  <c:v>8835.8392857142844</c:v>
                </c:pt>
                <c:pt idx="57">
                  <c:v>9484.1210191082828</c:v>
                </c:pt>
                <c:pt idx="58">
                  <c:v>10922.175349428186</c:v>
                </c:pt>
                <c:pt idx="59">
                  <c:v>8490.815423514523</c:v>
                </c:pt>
                <c:pt idx="60">
                  <c:v>9055.6998738965958</c:v>
                </c:pt>
                <c:pt idx="61">
                  <c:v>9238.4962779156322</c:v>
                </c:pt>
                <c:pt idx="62">
                  <c:v>8537.9182156133811</c:v>
                </c:pt>
                <c:pt idx="63">
                  <c:v>9003.5803680981571</c:v>
                </c:pt>
                <c:pt idx="64">
                  <c:v>9013.7955936352319</c:v>
                </c:pt>
                <c:pt idx="65">
                  <c:v>7888.6471306471303</c:v>
                </c:pt>
                <c:pt idx="66">
                  <c:v>8404.6752136751875</c:v>
                </c:pt>
                <c:pt idx="67">
                  <c:v>9213.9309927360773</c:v>
                </c:pt>
                <c:pt idx="68">
                  <c:v>7739.0507859733989</c:v>
                </c:pt>
                <c:pt idx="69">
                  <c:v>8033.7032181168015</c:v>
                </c:pt>
                <c:pt idx="70">
                  <c:v>8161.984505363529</c:v>
                </c:pt>
                <c:pt idx="71">
                  <c:v>8654.7938388625589</c:v>
                </c:pt>
                <c:pt idx="72">
                  <c:v>10590.393404004712</c:v>
                </c:pt>
                <c:pt idx="73">
                  <c:v>8945.6733254994051</c:v>
                </c:pt>
                <c:pt idx="74">
                  <c:v>8274.1523255813754</c:v>
                </c:pt>
                <c:pt idx="75">
                  <c:v>8561.0582191780813</c:v>
                </c:pt>
                <c:pt idx="76">
                  <c:v>8788.696287964005</c:v>
                </c:pt>
                <c:pt idx="77">
                  <c:v>8316.975663716803</c:v>
                </c:pt>
                <c:pt idx="78">
                  <c:v>9626.4707828004448</c:v>
                </c:pt>
                <c:pt idx="79">
                  <c:v>8570.7387486278949</c:v>
                </c:pt>
                <c:pt idx="80">
                  <c:v>8034.8086225026354</c:v>
                </c:pt>
                <c:pt idx="81">
                  <c:v>7666.2811203319534</c:v>
                </c:pt>
                <c:pt idx="82">
                  <c:v>8563.7077720207308</c:v>
                </c:pt>
                <c:pt idx="83">
                  <c:v>8914.8957688338505</c:v>
                </c:pt>
                <c:pt idx="84">
                  <c:v>8568.3639175257631</c:v>
                </c:pt>
                <c:pt idx="85">
                  <c:v>7926.1886982845654</c:v>
                </c:pt>
                <c:pt idx="86">
                  <c:v>8458.1153460381156</c:v>
                </c:pt>
                <c:pt idx="87">
                  <c:v>8302.175175175169</c:v>
                </c:pt>
                <c:pt idx="88">
                  <c:v>9763.103585657369</c:v>
                </c:pt>
                <c:pt idx="89">
                  <c:v>9990.7440476190841</c:v>
                </c:pt>
                <c:pt idx="90">
                  <c:v>9549.5626850937588</c:v>
                </c:pt>
                <c:pt idx="91">
                  <c:v>8583.6871945258845</c:v>
                </c:pt>
                <c:pt idx="92">
                  <c:v>8217.566055930567</c:v>
                </c:pt>
                <c:pt idx="93">
                  <c:v>9314.9474187380529</c:v>
                </c:pt>
                <c:pt idx="94">
                  <c:v>8272.246666666666</c:v>
                </c:pt>
                <c:pt idx="95">
                  <c:v>9397.833333333323</c:v>
                </c:pt>
                <c:pt idx="96">
                  <c:v>7994.9553903345568</c:v>
                </c:pt>
                <c:pt idx="97">
                  <c:v>9662.5381040891989</c:v>
                </c:pt>
                <c:pt idx="98">
                  <c:v>8239.9328621908189</c:v>
                </c:pt>
                <c:pt idx="99">
                  <c:v>8680.9108561341563</c:v>
                </c:pt>
                <c:pt idx="100">
                  <c:v>7895.6496927129074</c:v>
                </c:pt>
                <c:pt idx="101">
                  <c:v>10436.604366812264</c:v>
                </c:pt>
                <c:pt idx="102">
                  <c:v>8732.8247602441152</c:v>
                </c:pt>
                <c:pt idx="103">
                  <c:v>9476.7152777777756</c:v>
                </c:pt>
                <c:pt idx="104">
                  <c:v>8679.4338983050948</c:v>
                </c:pt>
                <c:pt idx="105">
                  <c:v>8489.983925549901</c:v>
                </c:pt>
                <c:pt idx="106">
                  <c:v>8381.6187290969901</c:v>
                </c:pt>
                <c:pt idx="107">
                  <c:v>8262.5692821369157</c:v>
                </c:pt>
                <c:pt idx="108">
                  <c:v>8339.4154870940874</c:v>
                </c:pt>
                <c:pt idx="109">
                  <c:v>9377.1247947454849</c:v>
                </c:pt>
                <c:pt idx="110">
                  <c:v>8185.6863527533924</c:v>
                </c:pt>
                <c:pt idx="111">
                  <c:v>7678.3200953137512</c:v>
                </c:pt>
                <c:pt idx="112">
                  <c:v>8818.5134099616862</c:v>
                </c:pt>
                <c:pt idx="113">
                  <c:v>9100.1177370030491</c:v>
                </c:pt>
                <c:pt idx="114">
                  <c:v>7936.7867479055585</c:v>
                </c:pt>
                <c:pt idx="115">
                  <c:v>8500.9969947407553</c:v>
                </c:pt>
                <c:pt idx="116">
                  <c:v>7561.821083890125</c:v>
                </c:pt>
                <c:pt idx="117">
                  <c:v>8405.5612472160574</c:v>
                </c:pt>
                <c:pt idx="118">
                  <c:v>9237.496669133965</c:v>
                </c:pt>
                <c:pt idx="119">
                  <c:v>10205.571955719557</c:v>
                </c:pt>
                <c:pt idx="120">
                  <c:v>7775.1119293078254</c:v>
                </c:pt>
                <c:pt idx="121">
                  <c:v>8786.9757174392871</c:v>
                </c:pt>
                <c:pt idx="122">
                  <c:v>7741.5679190751434</c:v>
                </c:pt>
                <c:pt idx="123">
                  <c:v>7770.7388809182057</c:v>
                </c:pt>
                <c:pt idx="124">
                  <c:v>8613.8051247470794</c:v>
                </c:pt>
                <c:pt idx="125">
                  <c:v>8908.3270524899071</c:v>
                </c:pt>
                <c:pt idx="126">
                  <c:v>7991.8166554734898</c:v>
                </c:pt>
                <c:pt idx="127">
                  <c:v>7387.4735432016068</c:v>
                </c:pt>
                <c:pt idx="128">
                  <c:v>8253.8054630246297</c:v>
                </c:pt>
                <c:pt idx="129">
                  <c:v>8109.5235880398704</c:v>
                </c:pt>
                <c:pt idx="130">
                  <c:v>8158.9433962263965</c:v>
                </c:pt>
                <c:pt idx="131">
                  <c:v>8054.1843790012854</c:v>
                </c:pt>
                <c:pt idx="132">
                  <c:v>8339.9391249207092</c:v>
                </c:pt>
                <c:pt idx="133">
                  <c:v>7432.4927989981215</c:v>
                </c:pt>
                <c:pt idx="134">
                  <c:v>7429.5614472863372</c:v>
                </c:pt>
                <c:pt idx="135">
                  <c:v>7804.4903426791279</c:v>
                </c:pt>
                <c:pt idx="136">
                  <c:v>8853.1815421979554</c:v>
                </c:pt>
                <c:pt idx="137">
                  <c:v>8370.8734939759033</c:v>
                </c:pt>
                <c:pt idx="138">
                  <c:v>9056.2202881152843</c:v>
                </c:pt>
                <c:pt idx="139">
                  <c:v>7608.5549738219934</c:v>
                </c:pt>
                <c:pt idx="140">
                  <c:v>7618.9696796338803</c:v>
                </c:pt>
                <c:pt idx="141">
                  <c:v>9904.445584045583</c:v>
                </c:pt>
                <c:pt idx="142">
                  <c:v>8228.7459610027909</c:v>
                </c:pt>
                <c:pt idx="143">
                  <c:v>7428.824229313158</c:v>
                </c:pt>
                <c:pt idx="144">
                  <c:v>8152.3481081081072</c:v>
                </c:pt>
                <c:pt idx="145">
                  <c:v>7994.2268592830414</c:v>
                </c:pt>
                <c:pt idx="146">
                  <c:v>8687.964799999987</c:v>
                </c:pt>
                <c:pt idx="147">
                  <c:v>7350.1696617336365</c:v>
                </c:pt>
                <c:pt idx="148">
                  <c:v>8200.0723140495811</c:v>
                </c:pt>
                <c:pt idx="149">
                  <c:v>8137.0263157894733</c:v>
                </c:pt>
                <c:pt idx="150">
                  <c:v>7725.1720762493624</c:v>
                </c:pt>
                <c:pt idx="151">
                  <c:v>6963.3605606573446</c:v>
                </c:pt>
                <c:pt idx="152">
                  <c:v>7951.9054182509508</c:v>
                </c:pt>
                <c:pt idx="153">
                  <c:v>8469.1139654367107</c:v>
                </c:pt>
                <c:pt idx="154">
                  <c:v>8019.0440165061891</c:v>
                </c:pt>
                <c:pt idx="155">
                  <c:v>8994.3516930022233</c:v>
                </c:pt>
                <c:pt idx="156">
                  <c:v>8168.1582194799703</c:v>
                </c:pt>
                <c:pt idx="157">
                  <c:v>9916.4791833466552</c:v>
                </c:pt>
                <c:pt idx="158">
                  <c:v>8556.5985057019279</c:v>
                </c:pt>
                <c:pt idx="159">
                  <c:v>7603.5280030900003</c:v>
                </c:pt>
                <c:pt idx="160">
                  <c:v>8670.2041267501845</c:v>
                </c:pt>
                <c:pt idx="161">
                  <c:v>7730.1075762545124</c:v>
                </c:pt>
              </c:numCache>
            </c:numRef>
          </c:yVal>
        </c:ser>
        <c:axId val="271943552"/>
        <c:axId val="271945728"/>
      </c:scatterChart>
      <c:valAx>
        <c:axId val="271943552"/>
        <c:scaling>
          <c:orientation val="minMax"/>
          <c:max val="2000"/>
          <c:min val="500"/>
        </c:scaling>
        <c:axPos val="b"/>
        <c:title>
          <c:tx>
            <c:rich>
              <a:bodyPr/>
              <a:lstStyle/>
              <a:p>
                <a:pPr>
                  <a:defRPr/>
                </a:pPr>
                <a:r>
                  <a:rPr lang="en-NZ"/>
                  <a:t>School size</a:t>
                </a:r>
                <a:r>
                  <a:rPr lang="en-NZ" baseline="0"/>
                  <a:t> - number of students</a:t>
                </a:r>
                <a:endParaRPr lang="en-NZ"/>
              </a:p>
            </c:rich>
          </c:tx>
        </c:title>
        <c:numFmt formatCode="General" sourceLinked="1"/>
        <c:tickLblPos val="nextTo"/>
        <c:crossAx val="271945728"/>
        <c:crosses val="autoZero"/>
        <c:crossBetween val="midCat"/>
      </c:valAx>
      <c:valAx>
        <c:axId val="271945728"/>
        <c:scaling>
          <c:orientation val="minMax"/>
        </c:scaling>
        <c:axPos val="l"/>
        <c:majorGridlines/>
        <c:title>
          <c:tx>
            <c:rich>
              <a:bodyPr rot="-5400000" vert="horz"/>
              <a:lstStyle/>
              <a:p>
                <a:pPr>
                  <a:defRPr/>
                </a:pPr>
                <a:r>
                  <a:rPr lang="en-NZ"/>
                  <a:t>Expenditure per student</a:t>
                </a:r>
              </a:p>
            </c:rich>
          </c:tx>
        </c:title>
        <c:numFmt formatCode="_(&quot;$&quot;* #,##0_);_(&quot;$&quot;* \(#,##0\);_(&quot;$&quot;* &quot;-&quot;??_);_(@_)" sourceLinked="1"/>
        <c:tickLblPos val="nextTo"/>
        <c:crossAx val="271943552"/>
        <c:crosses val="autoZero"/>
        <c:crossBetween val="midCat"/>
      </c:valAx>
    </c:plotArea>
    <c:plotVisOnly val="1"/>
    <c:dispBlanksAs val="gap"/>
  </c:chart>
  <c:spPr>
    <a:ln>
      <a:noFill/>
    </a:ln>
  </c:spPr>
  <c:txPr>
    <a:bodyPr/>
    <a:lstStyle/>
    <a:p>
      <a:pPr>
        <a:defRPr sz="800"/>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3224540901502552"/>
          <c:y val="6.5258980785296572E-2"/>
          <c:w val="0.65902045202676496"/>
          <c:h val="0.59085478539834657"/>
        </c:manualLayout>
      </c:layout>
      <c:barChart>
        <c:barDir val="col"/>
        <c:grouping val="percentStacked"/>
        <c:ser>
          <c:idx val="1"/>
          <c:order val="0"/>
          <c:tx>
            <c:strRef>
              <c:f>SummaryStats!$I$1864</c:f>
              <c:strCache>
                <c:ptCount val="1"/>
                <c:pt idx="0">
                  <c:v>Expenditure on Learning Resources</c:v>
                </c:pt>
              </c:strCache>
            </c:strRef>
          </c:tx>
          <c:spPr>
            <a:solidFill>
              <a:schemeClr val="accent1"/>
            </a:solidFill>
          </c:spPr>
          <c:cat>
            <c:strRef>
              <c:f>SummaryStats!$C$1963:$C$1977</c:f>
              <c:strCache>
                <c:ptCount val="15"/>
                <c:pt idx="0">
                  <c:v>Up to 60</c:v>
                </c:pt>
                <c:pt idx="1">
                  <c:v>61-80</c:v>
                </c:pt>
                <c:pt idx="2">
                  <c:v>81-100</c:v>
                </c:pt>
                <c:pt idx="3">
                  <c:v>101-120</c:v>
                </c:pt>
                <c:pt idx="4">
                  <c:v>121-140</c:v>
                </c:pt>
                <c:pt idx="5">
                  <c:v>141-160</c:v>
                </c:pt>
                <c:pt idx="6">
                  <c:v>161-180</c:v>
                </c:pt>
                <c:pt idx="7">
                  <c:v>181-200</c:v>
                </c:pt>
                <c:pt idx="8">
                  <c:v>201-220</c:v>
                </c:pt>
                <c:pt idx="9">
                  <c:v>221-240</c:v>
                </c:pt>
                <c:pt idx="10">
                  <c:v>241-260</c:v>
                </c:pt>
                <c:pt idx="11">
                  <c:v>261-280</c:v>
                </c:pt>
                <c:pt idx="12">
                  <c:v>281-300</c:v>
                </c:pt>
                <c:pt idx="13">
                  <c:v>301-320</c:v>
                </c:pt>
                <c:pt idx="14">
                  <c:v>over 320</c:v>
                </c:pt>
              </c:strCache>
            </c:strRef>
          </c:cat>
          <c:val>
            <c:numRef>
              <c:f>SummaryStats!$I$1963:$I$1977</c:f>
              <c:numCache>
                <c:formatCode>_-* #,##0_-;\-* #,##0_-;_-* "-"??_-;_-@_-</c:formatCode>
                <c:ptCount val="15"/>
                <c:pt idx="0">
                  <c:v>4220148</c:v>
                </c:pt>
                <c:pt idx="1">
                  <c:v>5378223</c:v>
                </c:pt>
                <c:pt idx="2">
                  <c:v>13612365</c:v>
                </c:pt>
                <c:pt idx="3">
                  <c:v>6931585</c:v>
                </c:pt>
                <c:pt idx="4">
                  <c:v>13446318</c:v>
                </c:pt>
                <c:pt idx="5">
                  <c:v>7387411</c:v>
                </c:pt>
                <c:pt idx="6">
                  <c:v>12354171</c:v>
                </c:pt>
                <c:pt idx="7">
                  <c:v>10899598</c:v>
                </c:pt>
                <c:pt idx="8">
                  <c:v>6781836</c:v>
                </c:pt>
                <c:pt idx="9">
                  <c:v>11726255</c:v>
                </c:pt>
                <c:pt idx="10">
                  <c:v>5987777</c:v>
                </c:pt>
                <c:pt idx="11">
                  <c:v>2338955</c:v>
                </c:pt>
                <c:pt idx="12">
                  <c:v>0</c:v>
                </c:pt>
                <c:pt idx="13">
                  <c:v>2358084</c:v>
                </c:pt>
                <c:pt idx="14">
                  <c:v>79846212</c:v>
                </c:pt>
              </c:numCache>
            </c:numRef>
          </c:val>
        </c:ser>
        <c:ser>
          <c:idx val="0"/>
          <c:order val="1"/>
          <c:tx>
            <c:strRef>
              <c:f>SummaryStats!$G$1864</c:f>
              <c:strCache>
                <c:ptCount val="1"/>
                <c:pt idx="0">
                  <c:v>Administration Expenses (incl. Finance)</c:v>
                </c:pt>
              </c:strCache>
            </c:strRef>
          </c:tx>
          <c:spPr>
            <a:solidFill>
              <a:schemeClr val="accent2"/>
            </a:solidFill>
          </c:spPr>
          <c:cat>
            <c:strRef>
              <c:f>SummaryStats!$C$1963:$C$1977</c:f>
              <c:strCache>
                <c:ptCount val="15"/>
                <c:pt idx="0">
                  <c:v>Up to 60</c:v>
                </c:pt>
                <c:pt idx="1">
                  <c:v>61-80</c:v>
                </c:pt>
                <c:pt idx="2">
                  <c:v>81-100</c:v>
                </c:pt>
                <c:pt idx="3">
                  <c:v>101-120</c:v>
                </c:pt>
                <c:pt idx="4">
                  <c:v>121-140</c:v>
                </c:pt>
                <c:pt idx="5">
                  <c:v>141-160</c:v>
                </c:pt>
                <c:pt idx="6">
                  <c:v>161-180</c:v>
                </c:pt>
                <c:pt idx="7">
                  <c:v>181-200</c:v>
                </c:pt>
                <c:pt idx="8">
                  <c:v>201-220</c:v>
                </c:pt>
                <c:pt idx="9">
                  <c:v>221-240</c:v>
                </c:pt>
                <c:pt idx="10">
                  <c:v>241-260</c:v>
                </c:pt>
                <c:pt idx="11">
                  <c:v>261-280</c:v>
                </c:pt>
                <c:pt idx="12">
                  <c:v>281-300</c:v>
                </c:pt>
                <c:pt idx="13">
                  <c:v>301-320</c:v>
                </c:pt>
                <c:pt idx="14">
                  <c:v>over 320</c:v>
                </c:pt>
              </c:strCache>
            </c:strRef>
          </c:cat>
          <c:val>
            <c:numRef>
              <c:f>SummaryStats!$G$1963:$G$1977</c:f>
              <c:numCache>
                <c:formatCode>_-* #,##0_-;\-* #,##0_-;_-* "-"??_-;_-@_-</c:formatCode>
                <c:ptCount val="15"/>
                <c:pt idx="0">
                  <c:v>914622</c:v>
                </c:pt>
                <c:pt idx="1">
                  <c:v>1028939</c:v>
                </c:pt>
                <c:pt idx="2">
                  <c:v>2208129</c:v>
                </c:pt>
                <c:pt idx="3">
                  <c:v>960593</c:v>
                </c:pt>
                <c:pt idx="4">
                  <c:v>1846239</c:v>
                </c:pt>
                <c:pt idx="5">
                  <c:v>1004216</c:v>
                </c:pt>
                <c:pt idx="6">
                  <c:v>1329141</c:v>
                </c:pt>
                <c:pt idx="7">
                  <c:v>936707</c:v>
                </c:pt>
                <c:pt idx="8">
                  <c:v>772241</c:v>
                </c:pt>
                <c:pt idx="9">
                  <c:v>1159900</c:v>
                </c:pt>
                <c:pt idx="10">
                  <c:v>567517</c:v>
                </c:pt>
                <c:pt idx="11">
                  <c:v>252357</c:v>
                </c:pt>
                <c:pt idx="12">
                  <c:v>0</c:v>
                </c:pt>
                <c:pt idx="13">
                  <c:v>227334</c:v>
                </c:pt>
                <c:pt idx="14">
                  <c:v>8568002</c:v>
                </c:pt>
              </c:numCache>
            </c:numRef>
          </c:val>
        </c:ser>
        <c:ser>
          <c:idx val="2"/>
          <c:order val="2"/>
          <c:tx>
            <c:strRef>
              <c:f>SummaryStats!$K$1864</c:f>
              <c:strCache>
                <c:ptCount val="1"/>
                <c:pt idx="0">
                  <c:v>Property Expenses</c:v>
                </c:pt>
              </c:strCache>
            </c:strRef>
          </c:tx>
          <c:spPr>
            <a:solidFill>
              <a:schemeClr val="accent3"/>
            </a:solidFill>
          </c:spPr>
          <c:cat>
            <c:strRef>
              <c:f>SummaryStats!$C$1963:$C$1977</c:f>
              <c:strCache>
                <c:ptCount val="15"/>
                <c:pt idx="0">
                  <c:v>Up to 60</c:v>
                </c:pt>
                <c:pt idx="1">
                  <c:v>61-80</c:v>
                </c:pt>
                <c:pt idx="2">
                  <c:v>81-100</c:v>
                </c:pt>
                <c:pt idx="3">
                  <c:v>101-120</c:v>
                </c:pt>
                <c:pt idx="4">
                  <c:v>121-140</c:v>
                </c:pt>
                <c:pt idx="5">
                  <c:v>141-160</c:v>
                </c:pt>
                <c:pt idx="6">
                  <c:v>161-180</c:v>
                </c:pt>
                <c:pt idx="7">
                  <c:v>181-200</c:v>
                </c:pt>
                <c:pt idx="8">
                  <c:v>201-220</c:v>
                </c:pt>
                <c:pt idx="9">
                  <c:v>221-240</c:v>
                </c:pt>
                <c:pt idx="10">
                  <c:v>241-260</c:v>
                </c:pt>
                <c:pt idx="11">
                  <c:v>261-280</c:v>
                </c:pt>
                <c:pt idx="12">
                  <c:v>281-300</c:v>
                </c:pt>
                <c:pt idx="13">
                  <c:v>301-320</c:v>
                </c:pt>
                <c:pt idx="14">
                  <c:v>over 320</c:v>
                </c:pt>
              </c:strCache>
            </c:strRef>
          </c:cat>
          <c:val>
            <c:numRef>
              <c:f>SummaryStats!$K$1963:$K$1977</c:f>
              <c:numCache>
                <c:formatCode>_-* #,##0_-;\-* #,##0_-;_-* "-"??_-;_-@_-</c:formatCode>
                <c:ptCount val="15"/>
                <c:pt idx="0">
                  <c:v>581457</c:v>
                </c:pt>
                <c:pt idx="1">
                  <c:v>699330</c:v>
                </c:pt>
                <c:pt idx="2">
                  <c:v>1826105</c:v>
                </c:pt>
                <c:pt idx="3">
                  <c:v>880343</c:v>
                </c:pt>
                <c:pt idx="4">
                  <c:v>1787133</c:v>
                </c:pt>
                <c:pt idx="5">
                  <c:v>820989</c:v>
                </c:pt>
                <c:pt idx="6">
                  <c:v>1573072</c:v>
                </c:pt>
                <c:pt idx="7">
                  <c:v>1128060</c:v>
                </c:pt>
                <c:pt idx="8">
                  <c:v>784522</c:v>
                </c:pt>
                <c:pt idx="9">
                  <c:v>1073262</c:v>
                </c:pt>
                <c:pt idx="10">
                  <c:v>920157</c:v>
                </c:pt>
                <c:pt idx="11">
                  <c:v>303987</c:v>
                </c:pt>
                <c:pt idx="12">
                  <c:v>0</c:v>
                </c:pt>
                <c:pt idx="13">
                  <c:v>192359</c:v>
                </c:pt>
                <c:pt idx="14">
                  <c:v>6960794</c:v>
                </c:pt>
              </c:numCache>
            </c:numRef>
          </c:val>
        </c:ser>
        <c:ser>
          <c:idx val="3"/>
          <c:order val="3"/>
          <c:tx>
            <c:strRef>
              <c:f>SummaryStats!$M$1864</c:f>
              <c:strCache>
                <c:ptCount val="1"/>
                <c:pt idx="0">
                  <c:v>All Other Expenses</c:v>
                </c:pt>
              </c:strCache>
            </c:strRef>
          </c:tx>
          <c:spPr>
            <a:solidFill>
              <a:schemeClr val="accent4"/>
            </a:solidFill>
          </c:spPr>
          <c:cat>
            <c:strRef>
              <c:f>SummaryStats!$C$1963:$C$1977</c:f>
              <c:strCache>
                <c:ptCount val="15"/>
                <c:pt idx="0">
                  <c:v>Up to 60</c:v>
                </c:pt>
                <c:pt idx="1">
                  <c:v>61-80</c:v>
                </c:pt>
                <c:pt idx="2">
                  <c:v>81-100</c:v>
                </c:pt>
                <c:pt idx="3">
                  <c:v>101-120</c:v>
                </c:pt>
                <c:pt idx="4">
                  <c:v>121-140</c:v>
                </c:pt>
                <c:pt idx="5">
                  <c:v>141-160</c:v>
                </c:pt>
                <c:pt idx="6">
                  <c:v>161-180</c:v>
                </c:pt>
                <c:pt idx="7">
                  <c:v>181-200</c:v>
                </c:pt>
                <c:pt idx="8">
                  <c:v>201-220</c:v>
                </c:pt>
                <c:pt idx="9">
                  <c:v>221-240</c:v>
                </c:pt>
                <c:pt idx="10">
                  <c:v>241-260</c:v>
                </c:pt>
                <c:pt idx="11">
                  <c:v>261-280</c:v>
                </c:pt>
                <c:pt idx="12">
                  <c:v>281-300</c:v>
                </c:pt>
                <c:pt idx="13">
                  <c:v>301-320</c:v>
                </c:pt>
                <c:pt idx="14">
                  <c:v>over 320</c:v>
                </c:pt>
              </c:strCache>
            </c:strRef>
          </c:cat>
          <c:val>
            <c:numRef>
              <c:f>SummaryStats!$M$1963:$M$1977</c:f>
              <c:numCache>
                <c:formatCode>_-* #,##0_-;\-* #,##0_-;_-* "-"??_-;_-@_-</c:formatCode>
                <c:ptCount val="15"/>
                <c:pt idx="0">
                  <c:v>332356</c:v>
                </c:pt>
                <c:pt idx="1">
                  <c:v>456086</c:v>
                </c:pt>
                <c:pt idx="2">
                  <c:v>1189508</c:v>
                </c:pt>
                <c:pt idx="3">
                  <c:v>683951</c:v>
                </c:pt>
                <c:pt idx="4">
                  <c:v>1201625</c:v>
                </c:pt>
                <c:pt idx="5">
                  <c:v>692008</c:v>
                </c:pt>
                <c:pt idx="6">
                  <c:v>1974471</c:v>
                </c:pt>
                <c:pt idx="7">
                  <c:v>1199340</c:v>
                </c:pt>
                <c:pt idx="8">
                  <c:v>563799</c:v>
                </c:pt>
                <c:pt idx="9">
                  <c:v>1209072</c:v>
                </c:pt>
                <c:pt idx="10">
                  <c:v>678362</c:v>
                </c:pt>
                <c:pt idx="11">
                  <c:v>137992</c:v>
                </c:pt>
                <c:pt idx="12">
                  <c:v>0</c:v>
                </c:pt>
                <c:pt idx="13">
                  <c:v>239484</c:v>
                </c:pt>
                <c:pt idx="14">
                  <c:v>12057534</c:v>
                </c:pt>
              </c:numCache>
            </c:numRef>
          </c:val>
        </c:ser>
        <c:gapWidth val="40"/>
        <c:overlap val="100"/>
        <c:axId val="271861248"/>
        <c:axId val="271863168"/>
        <c:extLst/>
      </c:barChart>
      <c:catAx>
        <c:axId val="271861248"/>
        <c:scaling>
          <c:orientation val="minMax"/>
        </c:scaling>
        <c:axPos val="b"/>
        <c:title>
          <c:tx>
            <c:rich>
              <a:bodyPr/>
              <a:lstStyle/>
              <a:p>
                <a:pPr>
                  <a:defRPr/>
                </a:pPr>
                <a:r>
                  <a:rPr lang="en-NZ"/>
                  <a:t>Student Roll Sizes</a:t>
                </a:r>
              </a:p>
            </c:rich>
          </c:tx>
          <c:layout>
            <c:manualLayout>
              <c:xMode val="edge"/>
              <c:yMode val="edge"/>
              <c:x val="0.33127643294379538"/>
              <c:y val="0.91280005569479417"/>
            </c:manualLayout>
          </c:layout>
        </c:title>
        <c:numFmt formatCode="General" sourceLinked="0"/>
        <c:majorTickMark val="none"/>
        <c:tickLblPos val="nextTo"/>
        <c:txPr>
          <a:bodyPr rot="-5400000" vert="horz"/>
          <a:lstStyle/>
          <a:p>
            <a:pPr>
              <a:defRPr/>
            </a:pPr>
            <a:endParaRPr lang="en-US"/>
          </a:p>
        </c:txPr>
        <c:crossAx val="271863168"/>
        <c:crosses val="autoZero"/>
        <c:auto val="1"/>
        <c:lblAlgn val="ctr"/>
        <c:lblOffset val="100"/>
      </c:catAx>
      <c:valAx>
        <c:axId val="271863168"/>
        <c:scaling>
          <c:orientation val="minMax"/>
          <c:max val="1"/>
        </c:scaling>
        <c:axPos val="l"/>
        <c:majorGridlines>
          <c:spPr>
            <a:ln>
              <a:noFill/>
            </a:ln>
          </c:spPr>
        </c:majorGridlines>
        <c:numFmt formatCode="0%" sourceLinked="0"/>
        <c:majorTickMark val="none"/>
        <c:tickLblPos val="nextTo"/>
        <c:crossAx val="271861248"/>
        <c:crosses val="autoZero"/>
        <c:crossBetween val="between"/>
      </c:valAx>
    </c:plotArea>
    <c:legend>
      <c:legendPos val="r"/>
      <c:layout>
        <c:manualLayout>
          <c:xMode val="edge"/>
          <c:yMode val="edge"/>
          <c:x val="0.79224951458760662"/>
          <c:y val="0.19704643553327819"/>
          <c:w val="0.20775048541239471"/>
          <c:h val="0.68760883977138865"/>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n-NZ"/>
  <c:chart>
    <c:title>
      <c:tx>
        <c:rich>
          <a:bodyPr/>
          <a:lstStyle/>
          <a:p>
            <a:pPr>
              <a:defRPr sz="900"/>
            </a:pPr>
            <a:r>
              <a:rPr lang="en-NZ" sz="900"/>
              <a:t>Total Funding $2.37 billion</a:t>
            </a:r>
          </a:p>
        </c:rich>
      </c:tx>
      <c:layout>
        <c:manualLayout>
          <c:xMode val="edge"/>
          <c:yMode val="edge"/>
          <c:x val="7.630337236270591E-6"/>
          <c:y val="0"/>
        </c:manualLayout>
      </c:layout>
    </c:title>
    <c:plotArea>
      <c:layout>
        <c:manualLayout>
          <c:layoutTarget val="inner"/>
          <c:xMode val="edge"/>
          <c:yMode val="edge"/>
          <c:x val="9.218308871128518E-2"/>
          <c:y val="0.15207929281060303"/>
          <c:w val="0.4030093065500292"/>
          <c:h val="0.84567187382981146"/>
        </c:manualLayout>
      </c:layout>
      <c:doughnutChart>
        <c:varyColors val="1"/>
        <c:ser>
          <c:idx val="0"/>
          <c:order val="0"/>
          <c:dLbls>
            <c:dLbl>
              <c:idx val="0"/>
              <c:layout>
                <c:manualLayout>
                  <c:x val="2.5007814942169544E-2"/>
                  <c:y val="-0.38435140700068737"/>
                </c:manualLayout>
              </c:layout>
              <c:showPercent val="1"/>
              <c:extLst>
                <c:ext xmlns:c15="http://schemas.microsoft.com/office/drawing/2012/chart" uri="{CE6537A1-D6FC-4f65-9D91-7224C49458BB}"/>
              </c:extLst>
            </c:dLbl>
            <c:dLbl>
              <c:idx val="1"/>
              <c:layout>
                <c:manualLayout>
                  <c:x val="-6.2519537355423815E-2"/>
                  <c:y val="0.13040494166094704"/>
                </c:manualLayout>
              </c:layout>
              <c:showPercent val="1"/>
              <c:extLst>
                <c:ext xmlns:c15="http://schemas.microsoft.com/office/drawing/2012/chart" uri="{CE6537A1-D6FC-4f65-9D91-7224C49458BB}"/>
              </c:extLst>
            </c:dLbl>
            <c:dLbl>
              <c:idx val="2"/>
              <c:layout>
                <c:manualLayout>
                  <c:x val="-0.10003125976867797"/>
                  <c:y val="-1.2582787609848305E-16"/>
                </c:manualLayout>
              </c:layout>
              <c:showPercent val="1"/>
              <c:extLst>
                <c:ext xmlns:c15="http://schemas.microsoft.com/office/drawing/2012/chart" uri="{CE6537A1-D6FC-4f65-9D91-7224C49458BB}"/>
              </c:extLst>
            </c:dLbl>
            <c:dLbl>
              <c:idx val="3"/>
              <c:layout>
                <c:manualLayout>
                  <c:x val="-9.0653329165364532E-2"/>
                  <c:y val="-8.9224433768016892E-2"/>
                </c:manualLayout>
              </c:layout>
              <c:showPercent val="1"/>
              <c:extLst>
                <c:ext xmlns:c15="http://schemas.microsoft.com/office/drawing/2012/chart" uri="{CE6537A1-D6FC-4f65-9D91-7224C49458BB}"/>
              </c:extLst>
            </c:dLbl>
            <c:dLbl>
              <c:idx val="4"/>
              <c:layout>
                <c:manualLayout>
                  <c:x val="-7.8149421694279478E-2"/>
                  <c:y val="-0.13040494166094721"/>
                </c:manualLayout>
              </c:layout>
              <c:showPercent val="1"/>
              <c:extLst>
                <c:ext xmlns:c15="http://schemas.microsoft.com/office/drawing/2012/chart" uri="{CE6537A1-D6FC-4f65-9D91-7224C49458BB}"/>
              </c:extLst>
            </c:dLbl>
            <c:dLbl>
              <c:idx val="5"/>
              <c:layout>
                <c:manualLayout>
                  <c:x val="-5.0015629884339038E-2"/>
                  <c:y val="-0.15785861358956771"/>
                </c:manualLayout>
              </c:layout>
              <c:showPercent val="1"/>
              <c:extLst>
                <c:ext xmlns:c15="http://schemas.microsoft.com/office/drawing/2012/chart" uri="{CE6537A1-D6FC-4f65-9D91-7224C49458BB}"/>
              </c:extLst>
            </c:dLbl>
            <c:dLbl>
              <c:idx val="6"/>
              <c:layout>
                <c:manualLayout>
                  <c:x val="-2.8133791809940634E-2"/>
                  <c:y val="-0.16472203157172327"/>
                </c:manualLayout>
              </c:layout>
              <c:showPercent val="1"/>
              <c:extLst>
                <c:ext xmlns:c15="http://schemas.microsoft.com/office/drawing/2012/chart" uri="{CE6537A1-D6FC-4f65-9D91-7224C49458BB}"/>
              </c:extLst>
            </c:dLbl>
            <c:spPr>
              <a:noFill/>
              <a:ln>
                <a:noFill/>
              </a:ln>
              <a:effectLst/>
            </c:spPr>
            <c:txPr>
              <a:bodyPr/>
              <a:lstStyle/>
              <a:p>
                <a:pPr>
                  <a:defRPr sz="800"/>
                </a:pPr>
                <a:endParaRPr lang="en-US"/>
              </a:p>
            </c:txPr>
            <c:showPercent val="1"/>
            <c:extLst>
              <c:ext xmlns:c15="http://schemas.microsoft.com/office/drawing/2012/chart" uri="{CE6537A1-D6FC-4f65-9D91-7224C49458BB}"/>
            </c:extLst>
          </c:dLbls>
          <c:cat>
            <c:strRef>
              <c:f>SummaryStats!$B$220:$B$226</c:f>
              <c:strCache>
                <c:ptCount val="7"/>
                <c:pt idx="0">
                  <c:v>Teachers salaries grants</c:v>
                </c:pt>
                <c:pt idx="1">
                  <c:v> Use of land and buildings</c:v>
                </c:pt>
                <c:pt idx="2">
                  <c:v>Operational grants</c:v>
                </c:pt>
                <c:pt idx="3">
                  <c:v>Other govt grants</c:v>
                </c:pt>
                <c:pt idx="4">
                  <c:v>Locally raised (excl. international students)</c:v>
                </c:pt>
                <c:pt idx="5">
                  <c:v>International students</c:v>
                </c:pt>
                <c:pt idx="6">
                  <c:v>Other</c:v>
                </c:pt>
              </c:strCache>
            </c:strRef>
          </c:cat>
          <c:val>
            <c:numRef>
              <c:f>SummaryStats!$F$220:$F$226</c:f>
              <c:numCache>
                <c:formatCode>_(* #,##0_);_(* \(#,##0\);_(* "-"??_);_(@_)</c:formatCode>
                <c:ptCount val="7"/>
                <c:pt idx="0">
                  <c:v>1155636198</c:v>
                </c:pt>
                <c:pt idx="1">
                  <c:v>353347477</c:v>
                </c:pt>
                <c:pt idx="2">
                  <c:v>426867376</c:v>
                </c:pt>
                <c:pt idx="3">
                  <c:v>84352780</c:v>
                </c:pt>
                <c:pt idx="4">
                  <c:v>43148023</c:v>
                </c:pt>
                <c:pt idx="5">
                  <c:v>90355457</c:v>
                </c:pt>
                <c:pt idx="6">
                  <c:v>216102749</c:v>
                </c:pt>
              </c:numCache>
            </c:numRef>
          </c:val>
        </c:ser>
        <c:firstSliceAng val="0"/>
        <c:holeSize val="44"/>
      </c:doughnutChart>
    </c:plotArea>
    <c:legend>
      <c:legendPos val="r"/>
      <c:layout>
        <c:manualLayout>
          <c:xMode val="edge"/>
          <c:yMode val="edge"/>
          <c:x val="0.52194033976029286"/>
          <c:y val="4.214408854349623E-2"/>
          <c:w val="0.46274007871554351"/>
          <c:h val="0.95785591145650528"/>
        </c:manualLayout>
      </c:layout>
      <c:txPr>
        <a:bodyPr/>
        <a:lstStyle/>
        <a:p>
          <a:pPr rtl="0">
            <a:defRPr sz="80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zero"/>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544931367093311"/>
          <c:y val="8.4460804789752264E-2"/>
          <c:w val="0.62678527854597321"/>
          <c:h val="0.76677179058758282"/>
        </c:manualLayout>
      </c:layout>
      <c:barChart>
        <c:barDir val="col"/>
        <c:grouping val="stacked"/>
        <c:ser>
          <c:idx val="0"/>
          <c:order val="0"/>
          <c:tx>
            <c:strRef>
              <c:f>SummaryStats!$I$1789</c:f>
              <c:strCache>
                <c:ptCount val="1"/>
                <c:pt idx="0">
                  <c:v>Expenditure on Learning Resources</c:v>
                </c:pt>
              </c:strCache>
            </c:strRef>
          </c:tx>
          <c:spPr>
            <a:solidFill>
              <a:schemeClr val="accent1"/>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SummaryStats!$I$2036:$I$2045</c:f>
              <c:numCache>
                <c:formatCode>_(* #,##0.00_);_(* \(#,##0.00\);_(* "-"??_);_(@_)</c:formatCode>
                <c:ptCount val="10"/>
                <c:pt idx="0">
                  <c:v>10372.320329844581</c:v>
                </c:pt>
                <c:pt idx="1">
                  <c:v>10348.973268529789</c:v>
                </c:pt>
                <c:pt idx="2">
                  <c:v>10115.525031289089</c:v>
                </c:pt>
                <c:pt idx="3">
                  <c:v>8634.3828229027931</c:v>
                </c:pt>
                <c:pt idx="4">
                  <c:v>7225.0350364963524</c:v>
                </c:pt>
                <c:pt idx="5">
                  <c:v>7771.5176233635557</c:v>
                </c:pt>
                <c:pt idx="6">
                  <c:v>7037.7970330411326</c:v>
                </c:pt>
                <c:pt idx="7">
                  <c:v>6880.3777939747197</c:v>
                </c:pt>
                <c:pt idx="8">
                  <c:v>6114.2465291551143</c:v>
                </c:pt>
                <c:pt idx="9">
                  <c:v>7012.4097510373385</c:v>
                </c:pt>
              </c:numCache>
            </c:numRef>
          </c:val>
        </c:ser>
        <c:ser>
          <c:idx val="3"/>
          <c:order val="1"/>
          <c:tx>
            <c:strRef>
              <c:f>SummaryStats!$G$1789</c:f>
              <c:strCache>
                <c:ptCount val="1"/>
                <c:pt idx="0">
                  <c:v>Administration Expenses (incl. Finance)</c:v>
                </c:pt>
              </c:strCache>
            </c:strRef>
          </c:tx>
          <c:spPr>
            <a:solidFill>
              <a:schemeClr val="accent2"/>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SummaryStats!$G$2036:$G$2045</c:f>
              <c:numCache>
                <c:formatCode>_(* #,##0.00_);_(* \(#,##0.00\);_(* "-"??_);_(@_)</c:formatCode>
                <c:ptCount val="10"/>
                <c:pt idx="0">
                  <c:v>1633.8103393593371</c:v>
                </c:pt>
                <c:pt idx="1">
                  <c:v>1503.5795868772782</c:v>
                </c:pt>
                <c:pt idx="2">
                  <c:v>1284.2359198998749</c:v>
                </c:pt>
                <c:pt idx="3">
                  <c:v>718.76764314247646</c:v>
                </c:pt>
                <c:pt idx="4">
                  <c:v>742.70656934306567</c:v>
                </c:pt>
                <c:pt idx="5">
                  <c:v>878.70594159113853</c:v>
                </c:pt>
                <c:pt idx="6">
                  <c:v>739.34861766689153</c:v>
                </c:pt>
                <c:pt idx="7">
                  <c:v>740.62074829932055</c:v>
                </c:pt>
                <c:pt idx="8">
                  <c:v>662.59877032923657</c:v>
                </c:pt>
                <c:pt idx="9">
                  <c:v>566.03112033194861</c:v>
                </c:pt>
              </c:numCache>
            </c:numRef>
          </c:val>
        </c:ser>
        <c:ser>
          <c:idx val="1"/>
          <c:order val="2"/>
          <c:tx>
            <c:strRef>
              <c:f>SummaryStats!$K$1789</c:f>
              <c:strCache>
                <c:ptCount val="1"/>
                <c:pt idx="0">
                  <c:v>Property Expenses</c:v>
                </c:pt>
              </c:strCache>
            </c:strRef>
          </c:tx>
          <c:spPr>
            <a:solidFill>
              <a:schemeClr val="accent3"/>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SummaryStats!$K$2036:$K$2045</c:f>
              <c:numCache>
                <c:formatCode>_(* #,##0.00_);_(* \(#,##0.00\);_(* "-"??_);_(@_)</c:formatCode>
                <c:ptCount val="10"/>
                <c:pt idx="0">
                  <c:v>1391.0970504281661</c:v>
                </c:pt>
                <c:pt idx="1">
                  <c:v>1201.2095990279465</c:v>
                </c:pt>
                <c:pt idx="2">
                  <c:v>1236.0206508135168</c:v>
                </c:pt>
                <c:pt idx="3">
                  <c:v>906.61185086551268</c:v>
                </c:pt>
                <c:pt idx="4">
                  <c:v>681.81678832116802</c:v>
                </c:pt>
                <c:pt idx="5">
                  <c:v>913.05639476334341</c:v>
                </c:pt>
                <c:pt idx="6">
                  <c:v>715.19959541470007</c:v>
                </c:pt>
                <c:pt idx="7">
                  <c:v>588.42662779397176</c:v>
                </c:pt>
                <c:pt idx="8">
                  <c:v>572.85501785005795</c:v>
                </c:pt>
                <c:pt idx="9">
                  <c:v>579.89937759336249</c:v>
                </c:pt>
              </c:numCache>
            </c:numRef>
          </c:val>
        </c:ser>
        <c:ser>
          <c:idx val="2"/>
          <c:order val="3"/>
          <c:tx>
            <c:strRef>
              <c:f>SummaryStats!$M$1789</c:f>
              <c:strCache>
                <c:ptCount val="1"/>
                <c:pt idx="0">
                  <c:v>All Other Expenses</c:v>
                </c:pt>
              </c:strCache>
            </c:strRef>
          </c:tx>
          <c:spPr>
            <a:solidFill>
              <a:schemeClr val="accent4"/>
            </a:solidFill>
          </c:spPr>
          <c:cat>
            <c:numRef>
              <c:f>SummaryStats!$B$1790:$B$1799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SummaryStats!$M$2036:$M$2045</c:f>
              <c:numCache>
                <c:formatCode>_(* #,##0.00_);_(* \(#,##0.00\);_(* "-"??_);_(@_)</c:formatCode>
                <c:ptCount val="10"/>
                <c:pt idx="0">
                  <c:v>980.36695210910239</c:v>
                </c:pt>
                <c:pt idx="1">
                  <c:v>980.70534629404654</c:v>
                </c:pt>
                <c:pt idx="2">
                  <c:v>1409.1670838548162</c:v>
                </c:pt>
                <c:pt idx="3">
                  <c:v>685.11118508655159</c:v>
                </c:pt>
                <c:pt idx="4">
                  <c:v>783.03868613138673</c:v>
                </c:pt>
                <c:pt idx="5">
                  <c:v>920.70392749244718</c:v>
                </c:pt>
                <c:pt idx="6">
                  <c:v>617.93762643290336</c:v>
                </c:pt>
                <c:pt idx="7">
                  <c:v>905.38289601554789</c:v>
                </c:pt>
                <c:pt idx="8">
                  <c:v>1317.484133280444</c:v>
                </c:pt>
                <c:pt idx="9">
                  <c:v>456.66804979253112</c:v>
                </c:pt>
              </c:numCache>
            </c:numRef>
          </c:val>
        </c:ser>
        <c:gapWidth val="50"/>
        <c:overlap val="100"/>
        <c:axId val="271996032"/>
        <c:axId val="271997952"/>
        <c:extLst/>
      </c:barChart>
      <c:catAx>
        <c:axId val="271996032"/>
        <c:scaling>
          <c:orientation val="minMax"/>
        </c:scaling>
        <c:axPos val="b"/>
        <c:title>
          <c:tx>
            <c:rich>
              <a:bodyPr/>
              <a:lstStyle/>
              <a:p>
                <a:pPr>
                  <a:defRPr/>
                </a:pPr>
                <a:r>
                  <a:rPr lang="en-NZ"/>
                  <a:t>Decile</a:t>
                </a:r>
              </a:p>
            </c:rich>
          </c:tx>
          <c:layout>
            <c:manualLayout>
              <c:xMode val="edge"/>
              <c:yMode val="edge"/>
              <c:x val="0.40194977740678905"/>
              <c:y val="0.92197333611807508"/>
            </c:manualLayout>
          </c:layout>
        </c:title>
        <c:numFmt formatCode="General" sourceLinked="0"/>
        <c:majorTickMark val="none"/>
        <c:tickLblPos val="nextTo"/>
        <c:crossAx val="271997952"/>
        <c:crosses val="autoZero"/>
        <c:auto val="1"/>
        <c:lblAlgn val="ctr"/>
        <c:lblOffset val="100"/>
      </c:catAx>
      <c:valAx>
        <c:axId val="271997952"/>
        <c:scaling>
          <c:orientation val="minMax"/>
        </c:scaling>
        <c:axPos val="l"/>
        <c:majorGridlines>
          <c:spPr>
            <a:ln>
              <a:noFill/>
            </a:ln>
          </c:spPr>
        </c:majorGridlines>
        <c:numFmt formatCode="&quot;$&quot;#,##0" sourceLinked="0"/>
        <c:majorTickMark val="none"/>
        <c:tickLblPos val="nextTo"/>
        <c:crossAx val="271996032"/>
        <c:crosses val="autoZero"/>
        <c:crossBetween val="between"/>
      </c:valAx>
      <c:spPr>
        <a:ln>
          <a:noFill/>
        </a:ln>
      </c:spPr>
    </c:plotArea>
    <c:legend>
      <c:legendPos val="r"/>
      <c:layout>
        <c:manualLayout>
          <c:xMode val="edge"/>
          <c:yMode val="edge"/>
          <c:x val="0.78621116106419797"/>
          <c:y val="0.22357107937733178"/>
          <c:w val="0.21378883893580236"/>
          <c:h val="0.70269040657198834"/>
        </c:manualLayout>
      </c:layout>
    </c:legend>
    <c:plotVisOnly val="1"/>
    <c:dispBlanksAs val="gap"/>
  </c:chart>
  <c:spPr>
    <a:ln>
      <a:noFill/>
    </a:ln>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2493658418081853"/>
          <c:y val="0.11672540160298403"/>
          <c:w val="0.80477555291828018"/>
          <c:h val="0.49889072507911897"/>
        </c:manualLayout>
      </c:layout>
      <c:barChart>
        <c:barDir val="col"/>
        <c:grouping val="stacked"/>
        <c:ser>
          <c:idx val="0"/>
          <c:order val="0"/>
          <c:tx>
            <c:v>Total</c:v>
          </c:tx>
          <c:spPr>
            <a:solidFill>
              <a:srgbClr val="86BC25"/>
            </a:solidFill>
            <a:ln>
              <a:noFill/>
            </a:ln>
            <a:effectLst/>
          </c:spPr>
          <c:cat>
            <c:strRef>
              <c:f>'Histogram Output'!$Q$25:$AB$25</c:f>
              <c:strCache>
                <c:ptCount val="5"/>
                <c:pt idx="0">
                  <c:v>0.0% - 4.0%</c:v>
                </c:pt>
                <c:pt idx="1">
                  <c:v>4.0% - 8.0%</c:v>
                </c:pt>
                <c:pt idx="2">
                  <c:v>8.0% - 12.0%</c:v>
                </c:pt>
                <c:pt idx="3">
                  <c:v>12.0% - 16.0%</c:v>
                </c:pt>
                <c:pt idx="4">
                  <c:v>Over  16.0%</c:v>
                </c:pt>
              </c:strCache>
              <c:extLst/>
            </c:strRef>
          </c:cat>
          <c:val>
            <c:numRef>
              <c:f>'Histogram Output'!$Q$38:$AB$38</c:f>
              <c:numCache>
                <c:formatCode>General</c:formatCode>
                <c:ptCount val="5"/>
                <c:pt idx="0">
                  <c:v>765</c:v>
                </c:pt>
                <c:pt idx="1">
                  <c:v>737</c:v>
                </c:pt>
                <c:pt idx="2">
                  <c:v>467</c:v>
                </c:pt>
                <c:pt idx="3">
                  <c:v>229</c:v>
                </c:pt>
                <c:pt idx="4">
                  <c:v>216</c:v>
                </c:pt>
              </c:numCache>
              <c:extLst/>
            </c:numRef>
          </c:val>
        </c:ser>
        <c:gapWidth val="70"/>
        <c:overlap val="100"/>
        <c:axId val="272025856"/>
        <c:axId val="280105344"/>
        <c:extLst>
          <c:ext xmlns:c15="http://schemas.microsoft.com/office/drawing/2012/chart" uri="{02D57815-91ED-43cb-92C2-25804820EDAC}">
            <c15:filteredBarSeries>
              <c15:ser>
                <c:idx val="10"/>
                <c:order val="0"/>
                <c:tx>
                  <c:strRef>
                    <c:extLst>
                      <c:ext uri="{02D57815-91ED-43cb-92C2-25804820EDAC}">
                        <c15:formulaRef>
                          <c15:sqref>'Histogram Output'!$P$36</c15:sqref>
                        </c15:formulaRef>
                      </c:ext>
                    </c:extLst>
                    <c:strCache>
                      <c:ptCount val="1"/>
                      <c:pt idx="0">
                        <c:v>None</c:v>
                      </c:pt>
                    </c:strCache>
                  </c:strRef>
                </c:tx>
                <c:spPr>
                  <a:solidFill>
                    <a:schemeClr val="accent5">
                      <a:lumMod val="60000"/>
                    </a:schemeClr>
                  </a:solidFill>
                  <a:ln>
                    <a:noFill/>
                  </a:ln>
                  <a:effectLst/>
                </c:spPr>
                <c:invertIfNegative val="0"/>
                <c:cat>
                  <c:strRef>
                    <c:extLst>
                      <c:ext uri="{02D57815-91ED-43cb-92C2-25804820EDAC}">
                        <c15:formulaRef>
                          <c15:sqref>'Histogram Output'!$Q$25:$AB$25</c15:sqref>
                        </c15:formulaRef>
                      </c:ext>
                    </c:extLst>
                    <c:strCache>
                      <c:ptCount val="5"/>
                      <c:pt idx="0">
                        <c:v>0.0% - 4.0%</c:v>
                      </c:pt>
                      <c:pt idx="1">
                        <c:v>4.0% - 8.0%</c:v>
                      </c:pt>
                      <c:pt idx="2">
                        <c:v>8.0% - 12.0%</c:v>
                      </c:pt>
                      <c:pt idx="3">
                        <c:v>12.0% - 16.0%</c:v>
                      </c:pt>
                      <c:pt idx="4">
                        <c:v>Over  16.0%</c:v>
                      </c:pt>
                    </c:strCache>
                  </c:strRef>
                </c:cat>
                <c:val>
                  <c:numRef>
                    <c:extLst>
                      <c:ext uri="{02D57815-91ED-43cb-92C2-25804820EDAC}">
                        <c15:formulaRef>
                          <c15:sqref>'Histogram Output'!$Q$36:$AB$36</c15:sqref>
                        </c15:formulaRef>
                      </c:ext>
                    </c:extLst>
                    <c:numCache>
                      <c:formatCode>General</c:formatCode>
                      <c:ptCount val="5"/>
                      <c:pt idx="0">
                        <c:v>0</c:v>
                      </c:pt>
                      <c:pt idx="1">
                        <c:v>0</c:v>
                      </c:pt>
                      <c:pt idx="2">
                        <c:v>0</c:v>
                      </c:pt>
                      <c:pt idx="3">
                        <c:v>0</c:v>
                      </c:pt>
                      <c:pt idx="4">
                        <c:v>0</c:v>
                      </c:pt>
                    </c:numCache>
                  </c:numRef>
                </c:val>
              </c15:ser>
            </c15:filteredBarSeries>
          </c:ext>
        </c:extLst>
      </c:barChart>
      <c:catAx>
        <c:axId val="272025856"/>
        <c:scaling>
          <c:orientation val="minMax"/>
        </c:scaling>
        <c:axPos val="b"/>
        <c:title>
          <c:tx>
            <c:rich>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NZ" b="1" baseline="0"/>
                  <a:t>Percent of Teacher FTEs hired from Bulk Grant</a:t>
                </a:r>
                <a:endParaRPr lang="en-NZ" b="1"/>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80105344"/>
        <c:crosses val="autoZero"/>
        <c:auto val="1"/>
        <c:lblAlgn val="ctr"/>
        <c:lblOffset val="100"/>
      </c:catAx>
      <c:valAx>
        <c:axId val="280105344"/>
        <c:scaling>
          <c:orientation val="minMax"/>
        </c:scaling>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NZ" b="1"/>
                  <a:t>Number of Schools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7202585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5595555899120891"/>
          <c:y val="5.6851710426571E-2"/>
          <c:w val="0.58888014131542199"/>
          <c:h val="0.70882731722713466"/>
        </c:manualLayout>
      </c:layout>
      <c:barChart>
        <c:barDir val="col"/>
        <c:grouping val="percentStacked"/>
        <c:ser>
          <c:idx val="0"/>
          <c:order val="0"/>
          <c:tx>
            <c:strRef>
              <c:f>'Histogram Output'!$Q$25</c:f>
              <c:strCache>
                <c:ptCount val="1"/>
                <c:pt idx="0">
                  <c:v>0.0% - 4.0%</c:v>
                </c:pt>
              </c:strCache>
            </c:strRef>
          </c:tx>
          <c:spPr>
            <a:solidFill>
              <a:schemeClr val="accent1"/>
            </a:solidFill>
            <a:ln>
              <a:noFill/>
            </a:ln>
            <a:effectLst/>
          </c:spPr>
          <c:cat>
            <c:numRef>
              <c:f>'Histogram Output'!$P$26:$P$35</c:f>
              <c:numCache>
                <c:formatCode>General</c:formatCode>
                <c:ptCount val="10"/>
                <c:pt idx="0">
                  <c:v>1</c:v>
                </c:pt>
                <c:pt idx="1">
                  <c:v>2</c:v>
                </c:pt>
                <c:pt idx="2">
                  <c:v>3</c:v>
                </c:pt>
                <c:pt idx="3">
                  <c:v>4</c:v>
                </c:pt>
                <c:pt idx="4">
                  <c:v>5</c:v>
                </c:pt>
                <c:pt idx="5">
                  <c:v>6</c:v>
                </c:pt>
                <c:pt idx="6">
                  <c:v>7</c:v>
                </c:pt>
                <c:pt idx="7">
                  <c:v>8</c:v>
                </c:pt>
                <c:pt idx="8">
                  <c:v>9</c:v>
                </c:pt>
                <c:pt idx="9">
                  <c:v>10</c:v>
                </c:pt>
              </c:numCache>
              <c:extLst>
                <c:ext xmlns:c15="http://schemas.microsoft.com/office/drawing/2012/chart" uri="{02D57815-91ED-43cb-92C2-25804820EDAC}">
                  <c15:fullRef>
                    <c15:sqref>'Histogram Output'!$P$26:$P$36</c15:sqref>
                  </c15:fullRef>
                </c:ext>
              </c:extLst>
            </c:numRef>
          </c:cat>
          <c:val>
            <c:numRef>
              <c:f>'Histogram Output'!$Q$26:$Q$35</c:f>
              <c:numCache>
                <c:formatCode>General</c:formatCode>
                <c:ptCount val="10"/>
                <c:pt idx="0">
                  <c:v>86</c:v>
                </c:pt>
                <c:pt idx="1">
                  <c:v>82</c:v>
                </c:pt>
                <c:pt idx="2">
                  <c:v>77</c:v>
                </c:pt>
                <c:pt idx="3">
                  <c:v>80</c:v>
                </c:pt>
                <c:pt idx="4">
                  <c:v>92</c:v>
                </c:pt>
                <c:pt idx="5">
                  <c:v>70</c:v>
                </c:pt>
                <c:pt idx="6">
                  <c:v>87</c:v>
                </c:pt>
                <c:pt idx="7">
                  <c:v>66</c:v>
                </c:pt>
                <c:pt idx="8">
                  <c:v>63</c:v>
                </c:pt>
                <c:pt idx="9">
                  <c:v>62</c:v>
                </c:pt>
              </c:numCache>
              <c:extLst>
                <c:ext xmlns:c15="http://schemas.microsoft.com/office/drawing/2012/chart" uri="{02D57815-91ED-43cb-92C2-25804820EDAC}">
                  <c15:fullRef>
                    <c15:sqref>'Histogram Output'!$Q$26:$Q$36</c15:sqref>
                  </c15:fullRef>
                </c:ext>
              </c:extLst>
            </c:numRef>
          </c:val>
        </c:ser>
        <c:ser>
          <c:idx val="1"/>
          <c:order val="1"/>
          <c:tx>
            <c:strRef>
              <c:f>'Histogram Output'!$R$25</c:f>
              <c:strCache>
                <c:ptCount val="1"/>
                <c:pt idx="0">
                  <c:v>4.0% - 8.0%</c:v>
                </c:pt>
              </c:strCache>
            </c:strRef>
          </c:tx>
          <c:spPr>
            <a:solidFill>
              <a:schemeClr val="accent3"/>
            </a:solidFill>
            <a:ln>
              <a:noFill/>
            </a:ln>
            <a:effectLst/>
          </c:spPr>
          <c:cat>
            <c:numRef>
              <c:f>'Histogram Output'!$P$26:$P$35</c:f>
              <c:numCache>
                <c:formatCode>General</c:formatCode>
                <c:ptCount val="10"/>
                <c:pt idx="0">
                  <c:v>1</c:v>
                </c:pt>
                <c:pt idx="1">
                  <c:v>2</c:v>
                </c:pt>
                <c:pt idx="2">
                  <c:v>3</c:v>
                </c:pt>
                <c:pt idx="3">
                  <c:v>4</c:v>
                </c:pt>
                <c:pt idx="4">
                  <c:v>5</c:v>
                </c:pt>
                <c:pt idx="5">
                  <c:v>6</c:v>
                </c:pt>
                <c:pt idx="6">
                  <c:v>7</c:v>
                </c:pt>
                <c:pt idx="7">
                  <c:v>8</c:v>
                </c:pt>
                <c:pt idx="8">
                  <c:v>9</c:v>
                </c:pt>
                <c:pt idx="9">
                  <c:v>10</c:v>
                </c:pt>
              </c:numCache>
              <c:extLst>
                <c:ext xmlns:c15="http://schemas.microsoft.com/office/drawing/2012/chart" uri="{02D57815-91ED-43cb-92C2-25804820EDAC}">
                  <c15:fullRef>
                    <c15:sqref>'Histogram Output'!$P$26:$P$36</c15:sqref>
                  </c15:fullRef>
                </c:ext>
              </c:extLst>
            </c:numRef>
          </c:cat>
          <c:val>
            <c:numRef>
              <c:f>'Histogram Output'!$R$26:$R$35</c:f>
              <c:numCache>
                <c:formatCode>General</c:formatCode>
                <c:ptCount val="10"/>
                <c:pt idx="0">
                  <c:v>63</c:v>
                </c:pt>
                <c:pt idx="1">
                  <c:v>68</c:v>
                </c:pt>
                <c:pt idx="2">
                  <c:v>76</c:v>
                </c:pt>
                <c:pt idx="3">
                  <c:v>73</c:v>
                </c:pt>
                <c:pt idx="4">
                  <c:v>75</c:v>
                </c:pt>
                <c:pt idx="5">
                  <c:v>76</c:v>
                </c:pt>
                <c:pt idx="6">
                  <c:v>68</c:v>
                </c:pt>
                <c:pt idx="7">
                  <c:v>82</c:v>
                </c:pt>
                <c:pt idx="8">
                  <c:v>75</c:v>
                </c:pt>
                <c:pt idx="9">
                  <c:v>81</c:v>
                </c:pt>
              </c:numCache>
              <c:extLst>
                <c:ext xmlns:c15="http://schemas.microsoft.com/office/drawing/2012/chart" uri="{02D57815-91ED-43cb-92C2-25804820EDAC}">
                  <c15:fullRef>
                    <c15:sqref>'Histogram Output'!$R$26:$R$36</c15:sqref>
                  </c15:fullRef>
                </c:ext>
              </c:extLst>
            </c:numRef>
          </c:val>
        </c:ser>
        <c:ser>
          <c:idx val="2"/>
          <c:order val="2"/>
          <c:tx>
            <c:strRef>
              <c:f>'Histogram Output'!$S$25</c:f>
              <c:strCache>
                <c:ptCount val="1"/>
                <c:pt idx="0">
                  <c:v>8.0% - 12.0%</c:v>
                </c:pt>
              </c:strCache>
            </c:strRef>
          </c:tx>
          <c:spPr>
            <a:solidFill>
              <a:schemeClr val="accent5"/>
            </a:solidFill>
            <a:ln>
              <a:noFill/>
            </a:ln>
            <a:effectLst/>
          </c:spPr>
          <c:cat>
            <c:numRef>
              <c:f>'Histogram Output'!$P$26:$P$35</c:f>
              <c:numCache>
                <c:formatCode>General</c:formatCode>
                <c:ptCount val="10"/>
                <c:pt idx="0">
                  <c:v>1</c:v>
                </c:pt>
                <c:pt idx="1">
                  <c:v>2</c:v>
                </c:pt>
                <c:pt idx="2">
                  <c:v>3</c:v>
                </c:pt>
                <c:pt idx="3">
                  <c:v>4</c:v>
                </c:pt>
                <c:pt idx="4">
                  <c:v>5</c:v>
                </c:pt>
                <c:pt idx="5">
                  <c:v>6</c:v>
                </c:pt>
                <c:pt idx="6">
                  <c:v>7</c:v>
                </c:pt>
                <c:pt idx="7">
                  <c:v>8</c:v>
                </c:pt>
                <c:pt idx="8">
                  <c:v>9</c:v>
                </c:pt>
                <c:pt idx="9">
                  <c:v>10</c:v>
                </c:pt>
              </c:numCache>
              <c:extLst>
                <c:ext xmlns:c15="http://schemas.microsoft.com/office/drawing/2012/chart" uri="{02D57815-91ED-43cb-92C2-25804820EDAC}">
                  <c15:fullRef>
                    <c15:sqref>'Histogram Output'!$P$26:$P$36</c15:sqref>
                  </c15:fullRef>
                </c:ext>
              </c:extLst>
            </c:numRef>
          </c:cat>
          <c:val>
            <c:numRef>
              <c:f>'Histogram Output'!$S$26:$S$35</c:f>
              <c:numCache>
                <c:formatCode>General</c:formatCode>
                <c:ptCount val="10"/>
                <c:pt idx="0">
                  <c:v>50</c:v>
                </c:pt>
                <c:pt idx="1">
                  <c:v>41</c:v>
                </c:pt>
                <c:pt idx="2">
                  <c:v>56</c:v>
                </c:pt>
                <c:pt idx="3">
                  <c:v>48</c:v>
                </c:pt>
                <c:pt idx="4">
                  <c:v>44</c:v>
                </c:pt>
                <c:pt idx="5">
                  <c:v>44</c:v>
                </c:pt>
                <c:pt idx="6">
                  <c:v>38</c:v>
                </c:pt>
                <c:pt idx="7">
                  <c:v>51</c:v>
                </c:pt>
                <c:pt idx="8">
                  <c:v>46</c:v>
                </c:pt>
                <c:pt idx="9">
                  <c:v>49</c:v>
                </c:pt>
              </c:numCache>
              <c:extLst>
                <c:ext xmlns:c15="http://schemas.microsoft.com/office/drawing/2012/chart" uri="{02D57815-91ED-43cb-92C2-25804820EDAC}">
                  <c15:fullRef>
                    <c15:sqref>'Histogram Output'!$S$26:$S$36</c15:sqref>
                  </c15:fullRef>
                </c:ext>
              </c:extLst>
            </c:numRef>
          </c:val>
        </c:ser>
        <c:ser>
          <c:idx val="3"/>
          <c:order val="3"/>
          <c:tx>
            <c:strRef>
              <c:f>'Histogram Output'!$T$25</c:f>
              <c:strCache>
                <c:ptCount val="1"/>
                <c:pt idx="0">
                  <c:v>12.0% - 16.0%</c:v>
                </c:pt>
              </c:strCache>
            </c:strRef>
          </c:tx>
          <c:spPr>
            <a:solidFill>
              <a:schemeClr val="accent1">
                <a:lumMod val="60000"/>
              </a:schemeClr>
            </a:solidFill>
            <a:ln>
              <a:noFill/>
            </a:ln>
            <a:effectLst/>
          </c:spPr>
          <c:cat>
            <c:numRef>
              <c:f>'Histogram Output'!$P$26:$P$35</c:f>
              <c:numCache>
                <c:formatCode>General</c:formatCode>
                <c:ptCount val="10"/>
                <c:pt idx="0">
                  <c:v>1</c:v>
                </c:pt>
                <c:pt idx="1">
                  <c:v>2</c:v>
                </c:pt>
                <c:pt idx="2">
                  <c:v>3</c:v>
                </c:pt>
                <c:pt idx="3">
                  <c:v>4</c:v>
                </c:pt>
                <c:pt idx="4">
                  <c:v>5</c:v>
                </c:pt>
                <c:pt idx="5">
                  <c:v>6</c:v>
                </c:pt>
                <c:pt idx="6">
                  <c:v>7</c:v>
                </c:pt>
                <c:pt idx="7">
                  <c:v>8</c:v>
                </c:pt>
                <c:pt idx="8">
                  <c:v>9</c:v>
                </c:pt>
                <c:pt idx="9">
                  <c:v>10</c:v>
                </c:pt>
              </c:numCache>
              <c:extLst>
                <c:ext xmlns:c15="http://schemas.microsoft.com/office/drawing/2012/chart" uri="{02D57815-91ED-43cb-92C2-25804820EDAC}">
                  <c15:fullRef>
                    <c15:sqref>'Histogram Output'!$P$26:$P$36</c15:sqref>
                  </c15:fullRef>
                </c:ext>
              </c:extLst>
            </c:numRef>
          </c:cat>
          <c:val>
            <c:numRef>
              <c:f>'Histogram Output'!$T$26:$T$35</c:f>
              <c:numCache>
                <c:formatCode>General</c:formatCode>
                <c:ptCount val="10"/>
                <c:pt idx="0">
                  <c:v>36</c:v>
                </c:pt>
                <c:pt idx="1">
                  <c:v>33</c:v>
                </c:pt>
                <c:pt idx="2">
                  <c:v>17</c:v>
                </c:pt>
                <c:pt idx="3">
                  <c:v>14</c:v>
                </c:pt>
                <c:pt idx="4">
                  <c:v>15</c:v>
                </c:pt>
                <c:pt idx="5">
                  <c:v>26</c:v>
                </c:pt>
                <c:pt idx="6">
                  <c:v>22</c:v>
                </c:pt>
                <c:pt idx="7">
                  <c:v>18</c:v>
                </c:pt>
                <c:pt idx="8">
                  <c:v>25</c:v>
                </c:pt>
                <c:pt idx="9">
                  <c:v>23</c:v>
                </c:pt>
              </c:numCache>
              <c:extLst>
                <c:ext xmlns:c15="http://schemas.microsoft.com/office/drawing/2012/chart" uri="{02D57815-91ED-43cb-92C2-25804820EDAC}">
                  <c15:fullRef>
                    <c15:sqref>'Histogram Output'!$T$26:$T$36</c15:sqref>
                  </c15:fullRef>
                </c:ext>
              </c:extLst>
            </c:numRef>
          </c:val>
        </c:ser>
        <c:ser>
          <c:idx val="4"/>
          <c:order val="4"/>
          <c:tx>
            <c:strRef>
              <c:f>'Histogram Output'!$U$25</c:f>
              <c:strCache>
                <c:ptCount val="1"/>
                <c:pt idx="0">
                  <c:v>Over  16.0%</c:v>
                </c:pt>
              </c:strCache>
              <c:extLst xmlns:c15="http://schemas.microsoft.com/office/drawing/2012/chart"/>
            </c:strRef>
          </c:tx>
          <c:spPr>
            <a:solidFill>
              <a:schemeClr val="accent3">
                <a:lumMod val="60000"/>
              </a:schemeClr>
            </a:solidFill>
            <a:ln>
              <a:noFill/>
            </a:ln>
            <a:effectLst/>
          </c:spPr>
          <c:cat>
            <c:numRef>
              <c:f>'Histogram Output'!$P$26:$P$35</c:f>
              <c:numCache>
                <c:formatCode>General</c:formatCode>
                <c:ptCount val="10"/>
                <c:pt idx="0">
                  <c:v>1</c:v>
                </c:pt>
                <c:pt idx="1">
                  <c:v>2</c:v>
                </c:pt>
                <c:pt idx="2">
                  <c:v>3</c:v>
                </c:pt>
                <c:pt idx="3">
                  <c:v>4</c:v>
                </c:pt>
                <c:pt idx="4">
                  <c:v>5</c:v>
                </c:pt>
                <c:pt idx="5">
                  <c:v>6</c:v>
                </c:pt>
                <c:pt idx="6">
                  <c:v>7</c:v>
                </c:pt>
                <c:pt idx="7">
                  <c:v>8</c:v>
                </c:pt>
                <c:pt idx="8">
                  <c:v>9</c:v>
                </c:pt>
                <c:pt idx="9">
                  <c:v>10</c:v>
                </c:pt>
              </c:numCache>
              <c:extLst>
                <c:ext xmlns:c15="http://schemas.microsoft.com/office/drawing/2012/chart" uri="{02D57815-91ED-43cb-92C2-25804820EDAC}">
                  <c15:fullRef>
                    <c15:sqref>'Histogram Output'!$P$26:$P$36</c15:sqref>
                  </c15:fullRef>
                </c:ext>
              </c:extLst>
            </c:numRef>
          </c:cat>
          <c:val>
            <c:numRef>
              <c:f>'Histogram Output'!$U$26:$U$35</c:f>
              <c:numCache>
                <c:formatCode>General</c:formatCode>
                <c:ptCount val="10"/>
                <c:pt idx="0">
                  <c:v>31</c:v>
                </c:pt>
                <c:pt idx="1">
                  <c:v>27</c:v>
                </c:pt>
                <c:pt idx="2">
                  <c:v>14</c:v>
                </c:pt>
                <c:pt idx="3">
                  <c:v>19</c:v>
                </c:pt>
                <c:pt idx="4">
                  <c:v>18</c:v>
                </c:pt>
                <c:pt idx="5">
                  <c:v>18</c:v>
                </c:pt>
                <c:pt idx="6">
                  <c:v>23</c:v>
                </c:pt>
                <c:pt idx="7">
                  <c:v>24</c:v>
                </c:pt>
                <c:pt idx="8">
                  <c:v>25</c:v>
                </c:pt>
                <c:pt idx="9">
                  <c:v>17</c:v>
                </c:pt>
              </c:numCache>
              <c:extLst>
                <c:ext xmlns:c15="http://schemas.microsoft.com/office/drawing/2012/chart" uri="{02D57815-91ED-43cb-92C2-25804820EDAC}">
                  <c15:fullRef>
                    <c15:sqref>'Histogram Output'!$U$26:$U$36</c15:sqref>
                  </c15:fullRef>
                </c:ext>
              </c:extLst>
            </c:numRef>
          </c:val>
        </c:ser>
        <c:gapWidth val="70"/>
        <c:overlap val="100"/>
        <c:axId val="280136320"/>
        <c:axId val="280158976"/>
        <c:extLst>
          <c:ext xmlns:c15="http://schemas.microsoft.com/office/drawing/2012/chart" uri="{02D57815-91ED-43cb-92C2-25804820EDAC}">
            <c15:filteredBarSeries>
              <c15:ser>
                <c:idx val="5"/>
                <c:order val="5"/>
                <c:tx>
                  <c:strRef>
                    <c:extLst>
                      <c:ext uri="{02D57815-91ED-43cb-92C2-25804820EDAC}">
                        <c15:formulaRef>
                          <c15:sqref>'Histogram Output'!$V$25</c15:sqref>
                        </c15:formulaRef>
                      </c:ext>
                    </c:extLst>
                    <c:strCache>
                      <c:ptCount val="1"/>
                      <c:pt idx="0">
                        <c:v>20.0% - 24.0%</c:v>
                      </c:pt>
                    </c:strCache>
                  </c:strRef>
                </c:tx>
                <c:spPr>
                  <a:solidFill>
                    <a:schemeClr val="accent5">
                      <a:lumMod val="60000"/>
                    </a:schemeClr>
                  </a:solidFill>
                  <a:ln>
                    <a:noFill/>
                  </a:ln>
                  <a:effectLst/>
                </c:spPr>
                <c:invertIfNegative val="0"/>
                <c:cat>
                  <c:numRef>
                    <c:extLst>
                      <c:ex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uri="{02D57815-91ED-43cb-92C2-25804820EDAC}">
                        <c15:fullRef>
                          <c15:sqref>'Histogram Output'!$V$26:$V$36</c15:sqref>
                        </c15:fullRef>
                        <c15:formulaRef>
                          <c15:sqref>'Histogram Output'!$V$26:$V$35</c15:sqref>
                        </c15:formulaRef>
                      </c:ext>
                    </c:extLst>
                    <c:numCache>
                      <c:formatCode>General</c:formatCode>
                      <c:ptCount val="10"/>
                      <c:pt idx="0">
                        <c:v>5</c:v>
                      </c:pt>
                      <c:pt idx="1">
                        <c:v>2</c:v>
                      </c:pt>
                      <c:pt idx="2">
                        <c:v>3</c:v>
                      </c:pt>
                      <c:pt idx="3">
                        <c:v>8</c:v>
                      </c:pt>
                      <c:pt idx="4">
                        <c:v>3</c:v>
                      </c:pt>
                      <c:pt idx="5">
                        <c:v>4</c:v>
                      </c:pt>
                      <c:pt idx="6">
                        <c:v>6</c:v>
                      </c:pt>
                      <c:pt idx="7">
                        <c:v>4</c:v>
                      </c:pt>
                      <c:pt idx="8">
                        <c:v>1</c:v>
                      </c:pt>
                      <c:pt idx="9">
                        <c:v>3</c:v>
                      </c:pt>
                    </c:numCache>
                  </c:numRef>
                </c:val>
              </c15:ser>
            </c15:filteredBarSeries>
            <c15:filteredBarSeries>
              <c15:ser>
                <c:idx val="6"/>
                <c:order val="6"/>
                <c:tx>
                  <c:strRef>
                    <c:extLst xmlns:c15="http://schemas.microsoft.com/office/drawing/2012/chart">
                      <c:ext xmlns:c15="http://schemas.microsoft.com/office/drawing/2012/chart" uri="{02D57815-91ED-43cb-92C2-25804820EDAC}">
                        <c15:formulaRef>
                          <c15:sqref>'Histogram Output'!$W$25</c15:sqref>
                        </c15:formulaRef>
                      </c:ext>
                    </c:extLst>
                    <c:strCache>
                      <c:ptCount val="1"/>
                      <c:pt idx="0">
                        <c:v>24.0% - 28.0%</c:v>
                      </c:pt>
                    </c:strCache>
                  </c:strRef>
                </c:tx>
                <c:spPr>
                  <a:solidFill>
                    <a:schemeClr val="accent1">
                      <a:lumMod val="80000"/>
                      <a:lumOff val="20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Output'!$W$26:$W$36</c15:sqref>
                        </c15:fullRef>
                        <c15:formulaRef>
                          <c15:sqref>'Histogram Output'!$W$26:$W$35</c15:sqref>
                        </c15:formulaRef>
                      </c:ext>
                    </c:extLst>
                    <c:numCache>
                      <c:formatCode>General</c:formatCode>
                      <c:ptCount val="10"/>
                      <c:pt idx="0">
                        <c:v>4</c:v>
                      </c:pt>
                      <c:pt idx="1">
                        <c:v>4</c:v>
                      </c:pt>
                      <c:pt idx="2">
                        <c:v>3</c:v>
                      </c:pt>
                      <c:pt idx="3">
                        <c:v>3</c:v>
                      </c:pt>
                      <c:pt idx="4">
                        <c:v>1</c:v>
                      </c:pt>
                      <c:pt idx="5">
                        <c:v>1</c:v>
                      </c:pt>
                      <c:pt idx="6">
                        <c:v>4</c:v>
                      </c:pt>
                      <c:pt idx="7">
                        <c:v>3</c:v>
                      </c:pt>
                      <c:pt idx="8">
                        <c:v>5</c:v>
                      </c:pt>
                      <c:pt idx="9">
                        <c:v>1</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'Histogram Output'!$X$25</c15:sqref>
                        </c15:formulaRef>
                      </c:ext>
                    </c:extLst>
                    <c:strCache>
                      <c:ptCount val="1"/>
                      <c:pt idx="0">
                        <c:v>28.0% - 32.0%</c:v>
                      </c:pt>
                    </c:strCache>
                  </c:strRef>
                </c:tx>
                <c:spPr>
                  <a:solidFill>
                    <a:schemeClr val="accent3">
                      <a:lumMod val="80000"/>
                      <a:lumOff val="20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Output'!$X$26:$X$36</c15:sqref>
                        </c15:fullRef>
                        <c15:formulaRef>
                          <c15:sqref>'Histogram Output'!$X$26:$X$35</c15:sqref>
                        </c15:formulaRef>
                      </c:ext>
                    </c:extLst>
                    <c:numCache>
                      <c:formatCode>General</c:formatCode>
                      <c:ptCount val="10"/>
                      <c:pt idx="0">
                        <c:v>1</c:v>
                      </c:pt>
                      <c:pt idx="1">
                        <c:v>1</c:v>
                      </c:pt>
                      <c:pt idx="2">
                        <c:v>1</c:v>
                      </c:pt>
                      <c:pt idx="3">
                        <c:v>0</c:v>
                      </c:pt>
                      <c:pt idx="4">
                        <c:v>0</c:v>
                      </c:pt>
                      <c:pt idx="5">
                        <c:v>3</c:v>
                      </c:pt>
                      <c:pt idx="6">
                        <c:v>3</c:v>
                      </c:pt>
                      <c:pt idx="7">
                        <c:v>2</c:v>
                      </c:pt>
                      <c:pt idx="8">
                        <c:v>1</c:v>
                      </c:pt>
                      <c:pt idx="9">
                        <c:v>1</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'Histogram Output'!$Y$25</c15:sqref>
                        </c15:formulaRef>
                      </c:ext>
                    </c:extLst>
                    <c:strCache>
                      <c:ptCount val="1"/>
                      <c:pt idx="0">
                        <c:v>32.0% - 36.0%</c:v>
                      </c:pt>
                    </c:strCache>
                  </c:strRef>
                </c:tx>
                <c:spPr>
                  <a:solidFill>
                    <a:schemeClr val="accent5">
                      <a:lumMod val="80000"/>
                      <a:lumOff val="20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Output'!$Y$26:$Y$36</c15:sqref>
                        </c15:fullRef>
                        <c15:formulaRef>
                          <c15:sqref>'Histogram Output'!$Y$26:$Y$35</c15:sqref>
                        </c15:formulaRef>
                      </c:ext>
                    </c:extLst>
                    <c:numCache>
                      <c:formatCode>General</c:formatCode>
                      <c:ptCount val="10"/>
                      <c:pt idx="0">
                        <c:v>1</c:v>
                      </c:pt>
                      <c:pt idx="1">
                        <c:v>1</c:v>
                      </c:pt>
                      <c:pt idx="2">
                        <c:v>0</c:v>
                      </c:pt>
                      <c:pt idx="3">
                        <c:v>1</c:v>
                      </c:pt>
                      <c:pt idx="4">
                        <c:v>0</c:v>
                      </c:pt>
                      <c:pt idx="5">
                        <c:v>0</c:v>
                      </c:pt>
                      <c:pt idx="6">
                        <c:v>0</c:v>
                      </c:pt>
                      <c:pt idx="7">
                        <c:v>1</c:v>
                      </c:pt>
                      <c:pt idx="8">
                        <c:v>3</c:v>
                      </c:pt>
                      <c:pt idx="9">
                        <c:v>0</c:v>
                      </c:pt>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'Histogram Output'!$Z$25</c15:sqref>
                        </c15:formulaRef>
                      </c:ext>
                    </c:extLst>
                    <c:strCache>
                      <c:ptCount val="1"/>
                      <c:pt idx="0">
                        <c:v>36.0% - 40.0%</c:v>
                      </c:pt>
                    </c:strCache>
                  </c:strRef>
                </c:tx>
                <c:spPr>
                  <a:solidFill>
                    <a:schemeClr val="accent1">
                      <a:lumMod val="80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Output'!$Z$26:$Z$36</c15:sqref>
                        </c15:fullRef>
                        <c15:formulaRef>
                          <c15:sqref>'Histogram Output'!$Z$26:$Z$35</c15:sqref>
                        </c15:formulaRef>
                      </c:ext>
                    </c:extLst>
                    <c:numCache>
                      <c:formatCode>General</c:formatCode>
                      <c:ptCount val="10"/>
                      <c:pt idx="0">
                        <c:v>0</c:v>
                      </c:pt>
                      <c:pt idx="1">
                        <c:v>3</c:v>
                      </c:pt>
                      <c:pt idx="2">
                        <c:v>0</c:v>
                      </c:pt>
                      <c:pt idx="3">
                        <c:v>0</c:v>
                      </c:pt>
                      <c:pt idx="4">
                        <c:v>0</c:v>
                      </c:pt>
                      <c:pt idx="5">
                        <c:v>3</c:v>
                      </c:pt>
                      <c:pt idx="6">
                        <c:v>0</c:v>
                      </c:pt>
                      <c:pt idx="7">
                        <c:v>1</c:v>
                      </c:pt>
                      <c:pt idx="8">
                        <c:v>1</c:v>
                      </c:pt>
                      <c:pt idx="9">
                        <c:v>0</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'Histogram Output'!$AA$25</c15:sqref>
                        </c15:formulaRef>
                      </c:ext>
                    </c:extLst>
                    <c:strCache>
                      <c:ptCount val="1"/>
                      <c:pt idx="0">
                        <c:v>40.0% - 44.0%</c:v>
                      </c:pt>
                    </c:strCache>
                  </c:strRef>
                </c:tx>
                <c:spPr>
                  <a:solidFill>
                    <a:schemeClr val="accent3">
                      <a:lumMod val="80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Output'!$AA$26:$AA$36</c15:sqref>
                        </c15:fullRef>
                        <c15:formulaRef>
                          <c15:sqref>'Histogram Output'!$AA$26:$AA$35</c15:sqref>
                        </c15:formulaRef>
                      </c:ext>
                    </c:extLst>
                    <c:numCache>
                      <c:formatCode>General</c:formatCode>
                      <c:ptCount val="10"/>
                      <c:pt idx="0">
                        <c:v>0</c:v>
                      </c:pt>
                      <c:pt idx="1">
                        <c:v>2</c:v>
                      </c:pt>
                      <c:pt idx="2">
                        <c:v>0</c:v>
                      </c:pt>
                      <c:pt idx="3">
                        <c:v>0</c:v>
                      </c:pt>
                      <c:pt idx="4">
                        <c:v>1</c:v>
                      </c:pt>
                      <c:pt idx="5">
                        <c:v>1</c:v>
                      </c:pt>
                      <c:pt idx="6">
                        <c:v>0</c:v>
                      </c:pt>
                      <c:pt idx="7">
                        <c:v>1</c:v>
                      </c:pt>
                      <c:pt idx="8">
                        <c:v>1</c:v>
                      </c:pt>
                      <c:pt idx="9">
                        <c:v>0</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'Histogram Output'!$AB$25</c15:sqref>
                        </c15:formulaRef>
                      </c:ext>
                    </c:extLst>
                    <c:strCache>
                      <c:ptCount val="1"/>
                      <c:pt idx="0">
                        <c:v>44.0% - Higher</c:v>
                      </c:pt>
                    </c:strCache>
                  </c:strRef>
                </c:tx>
                <c:spPr>
                  <a:solidFill>
                    <a:schemeClr val="accent5">
                      <a:lumMod val="80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Output'!$AB$26:$AB$36</c15:sqref>
                        </c15:fullRef>
                        <c15:formulaRef>
                          <c15:sqref>'Histogram Output'!$AB$26:$AB$35</c15:sqref>
                        </c15:formulaRef>
                      </c:ext>
                    </c:extLst>
                    <c:numCache>
                      <c:formatCode>General</c:formatCode>
                      <c:ptCount val="10"/>
                      <c:pt idx="0">
                        <c:v>4</c:v>
                      </c:pt>
                      <c:pt idx="1">
                        <c:v>3</c:v>
                      </c:pt>
                      <c:pt idx="2">
                        <c:v>0</c:v>
                      </c:pt>
                      <c:pt idx="3">
                        <c:v>1</c:v>
                      </c:pt>
                      <c:pt idx="4">
                        <c:v>3</c:v>
                      </c:pt>
                      <c:pt idx="5">
                        <c:v>2</c:v>
                      </c:pt>
                      <c:pt idx="6">
                        <c:v>2</c:v>
                      </c:pt>
                      <c:pt idx="7">
                        <c:v>1</c:v>
                      </c:pt>
                      <c:pt idx="8">
                        <c:v>2</c:v>
                      </c:pt>
                      <c:pt idx="9">
                        <c:v>2</c:v>
                      </c:pt>
                    </c:numCache>
                  </c:numRef>
                </c:val>
              </c15:ser>
            </c15:filteredBarSeries>
          </c:ext>
        </c:extLst>
      </c:barChart>
      <c:catAx>
        <c:axId val="280136320"/>
        <c:scaling>
          <c:orientation val="minMax"/>
        </c:scaling>
        <c:axPos val="b"/>
        <c:title>
          <c:tx>
            <c:rich>
              <a:bodyPr rot="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NZ" b="1"/>
                  <a:t>Decile</a:t>
                </a:r>
              </a:p>
            </c:rich>
          </c:tx>
          <c:layout>
            <c:manualLayout>
              <c:xMode val="edge"/>
              <c:yMode val="edge"/>
              <c:x val="0.37039285777721498"/>
              <c:y val="0.9121664463876577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80158976"/>
        <c:crosses val="autoZero"/>
        <c:auto val="1"/>
        <c:lblAlgn val="ctr"/>
        <c:lblOffset val="100"/>
      </c:catAx>
      <c:valAx>
        <c:axId val="280158976"/>
        <c:scaling>
          <c:orientation val="minMax"/>
        </c:scaling>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NZ" b="1"/>
                  <a:t>Proportion</a:t>
                </a:r>
              </a:p>
            </c:rich>
          </c:tx>
          <c:layout>
            <c:manualLayout>
              <c:xMode val="edge"/>
              <c:yMode val="edge"/>
              <c:x val="7.8770236189901911E-3"/>
              <c:y val="0.28793723123406872"/>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80136320"/>
        <c:crosses val="autoZero"/>
        <c:crossBetween val="between"/>
      </c:valAx>
      <c:spPr>
        <a:noFill/>
        <a:ln>
          <a:noFill/>
        </a:ln>
        <a:effectLst/>
      </c:spPr>
    </c:plotArea>
    <c:legend>
      <c:legendPos val="r"/>
      <c:layout>
        <c:manualLayout>
          <c:xMode val="edge"/>
          <c:yMode val="edge"/>
          <c:x val="0.71734438679718482"/>
          <c:y val="0.10742194655251633"/>
          <c:w val="0.27965208507044464"/>
          <c:h val="0.63691995045635263"/>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5595555899120891"/>
          <c:y val="5.6851710426571E-2"/>
          <c:w val="0.58888014131542199"/>
          <c:h val="0.70882731722713466"/>
        </c:manualLayout>
      </c:layout>
      <c:barChart>
        <c:barDir val="col"/>
        <c:grouping val="percentStacked"/>
        <c:ser>
          <c:idx val="0"/>
          <c:order val="0"/>
          <c:tx>
            <c:strRef>
              <c:f>'Histogram Output'!$Q$59</c:f>
              <c:strCache>
                <c:ptCount val="1"/>
                <c:pt idx="0">
                  <c:v>0.0% - 4.0%</c:v>
                </c:pt>
              </c:strCache>
            </c:strRef>
          </c:tx>
          <c:cat>
            <c:strRef>
              <c:f>'Histogram Output'!$P$60:$P$63</c:f>
              <c:strCache>
                <c:ptCount val="4"/>
                <c:pt idx="0">
                  <c:v>Primary &amp; Intermediate</c:v>
                </c:pt>
                <c:pt idx="1">
                  <c:v>Secondary</c:v>
                </c:pt>
                <c:pt idx="2">
                  <c:v>Composite</c:v>
                </c:pt>
                <c:pt idx="3">
                  <c:v>Other</c:v>
                </c:pt>
              </c:strCache>
            </c:strRef>
          </c:cat>
          <c:val>
            <c:numRef>
              <c:f>'Histogram Output'!$Q$60:$Q$63</c:f>
              <c:numCache>
                <c:formatCode>General</c:formatCode>
                <c:ptCount val="4"/>
                <c:pt idx="0">
                  <c:v>621</c:v>
                </c:pt>
                <c:pt idx="1">
                  <c:v>56</c:v>
                </c:pt>
                <c:pt idx="2">
                  <c:v>55</c:v>
                </c:pt>
                <c:pt idx="3">
                  <c:v>33</c:v>
                </c:pt>
              </c:numCache>
            </c:numRef>
          </c:val>
        </c:ser>
        <c:ser>
          <c:idx val="1"/>
          <c:order val="1"/>
          <c:tx>
            <c:strRef>
              <c:f>'Histogram Output'!$R$59</c:f>
              <c:strCache>
                <c:ptCount val="1"/>
                <c:pt idx="0">
                  <c:v>4.0% - 8.0%</c:v>
                </c:pt>
              </c:strCache>
            </c:strRef>
          </c:tx>
          <c:cat>
            <c:strRef>
              <c:f>'Histogram Output'!$P$60:$P$63</c:f>
              <c:strCache>
                <c:ptCount val="4"/>
                <c:pt idx="0">
                  <c:v>Primary &amp; Intermediate</c:v>
                </c:pt>
                <c:pt idx="1">
                  <c:v>Secondary</c:v>
                </c:pt>
                <c:pt idx="2">
                  <c:v>Composite</c:v>
                </c:pt>
                <c:pt idx="3">
                  <c:v>Other</c:v>
                </c:pt>
              </c:strCache>
            </c:strRef>
          </c:cat>
          <c:val>
            <c:numRef>
              <c:f>'Histogram Output'!$R$60:$R$63</c:f>
              <c:numCache>
                <c:formatCode>General</c:formatCode>
                <c:ptCount val="4"/>
                <c:pt idx="0">
                  <c:v>596</c:v>
                </c:pt>
                <c:pt idx="1">
                  <c:v>113</c:v>
                </c:pt>
                <c:pt idx="2">
                  <c:v>26</c:v>
                </c:pt>
                <c:pt idx="3">
                  <c:v>2</c:v>
                </c:pt>
              </c:numCache>
            </c:numRef>
          </c:val>
        </c:ser>
        <c:ser>
          <c:idx val="2"/>
          <c:order val="2"/>
          <c:tx>
            <c:strRef>
              <c:f>'Histogram Output'!$S$59</c:f>
              <c:strCache>
                <c:ptCount val="1"/>
                <c:pt idx="0">
                  <c:v>8.0% - 12.0%</c:v>
                </c:pt>
              </c:strCache>
            </c:strRef>
          </c:tx>
          <c:cat>
            <c:strRef>
              <c:f>'Histogram Output'!$P$60:$P$63</c:f>
              <c:strCache>
                <c:ptCount val="4"/>
                <c:pt idx="0">
                  <c:v>Primary &amp; Intermediate</c:v>
                </c:pt>
                <c:pt idx="1">
                  <c:v>Secondary</c:v>
                </c:pt>
                <c:pt idx="2">
                  <c:v>Composite</c:v>
                </c:pt>
                <c:pt idx="3">
                  <c:v>Other</c:v>
                </c:pt>
              </c:strCache>
            </c:strRef>
          </c:cat>
          <c:val>
            <c:numRef>
              <c:f>'Histogram Output'!$S$60:$S$63</c:f>
              <c:numCache>
                <c:formatCode>General</c:formatCode>
                <c:ptCount val="4"/>
                <c:pt idx="0">
                  <c:v>355</c:v>
                </c:pt>
                <c:pt idx="1">
                  <c:v>86</c:v>
                </c:pt>
                <c:pt idx="2">
                  <c:v>23</c:v>
                </c:pt>
                <c:pt idx="3">
                  <c:v>3</c:v>
                </c:pt>
              </c:numCache>
            </c:numRef>
          </c:val>
        </c:ser>
        <c:ser>
          <c:idx val="3"/>
          <c:order val="3"/>
          <c:tx>
            <c:strRef>
              <c:f>'Histogram Output'!$T$59</c:f>
              <c:strCache>
                <c:ptCount val="1"/>
                <c:pt idx="0">
                  <c:v>12.0% - 16.0%</c:v>
                </c:pt>
              </c:strCache>
            </c:strRef>
          </c:tx>
          <c:cat>
            <c:strRef>
              <c:f>'Histogram Output'!$P$60:$P$63</c:f>
              <c:strCache>
                <c:ptCount val="4"/>
                <c:pt idx="0">
                  <c:v>Primary &amp; Intermediate</c:v>
                </c:pt>
                <c:pt idx="1">
                  <c:v>Secondary</c:v>
                </c:pt>
                <c:pt idx="2">
                  <c:v>Composite</c:v>
                </c:pt>
                <c:pt idx="3">
                  <c:v>Other</c:v>
                </c:pt>
              </c:strCache>
            </c:strRef>
          </c:cat>
          <c:val>
            <c:numRef>
              <c:f>'Histogram Output'!$T$60:$T$63</c:f>
              <c:numCache>
                <c:formatCode>General</c:formatCode>
                <c:ptCount val="4"/>
                <c:pt idx="0">
                  <c:v>168</c:v>
                </c:pt>
                <c:pt idx="1">
                  <c:v>49</c:v>
                </c:pt>
                <c:pt idx="2">
                  <c:v>12</c:v>
                </c:pt>
                <c:pt idx="3">
                  <c:v>0</c:v>
                </c:pt>
              </c:numCache>
            </c:numRef>
          </c:val>
        </c:ser>
        <c:ser>
          <c:idx val="4"/>
          <c:order val="4"/>
          <c:tx>
            <c:strRef>
              <c:f>'Histogram Output'!$U$59</c:f>
              <c:strCache>
                <c:ptCount val="1"/>
                <c:pt idx="0">
                  <c:v>Over  16.0%</c:v>
                </c:pt>
              </c:strCache>
            </c:strRef>
          </c:tx>
          <c:cat>
            <c:strRef>
              <c:f>'Histogram Output'!$P$60:$P$63</c:f>
              <c:strCache>
                <c:ptCount val="4"/>
                <c:pt idx="0">
                  <c:v>Primary &amp; Intermediate</c:v>
                </c:pt>
                <c:pt idx="1">
                  <c:v>Secondary</c:v>
                </c:pt>
                <c:pt idx="2">
                  <c:v>Composite</c:v>
                </c:pt>
                <c:pt idx="3">
                  <c:v>Other</c:v>
                </c:pt>
              </c:strCache>
            </c:strRef>
          </c:cat>
          <c:val>
            <c:numRef>
              <c:f>'Histogram Output'!$U$60:$U$63</c:f>
              <c:numCache>
                <c:formatCode>General</c:formatCode>
                <c:ptCount val="4"/>
                <c:pt idx="0">
                  <c:v>187</c:v>
                </c:pt>
                <c:pt idx="1">
                  <c:v>19</c:v>
                </c:pt>
                <c:pt idx="2">
                  <c:v>10</c:v>
                </c:pt>
                <c:pt idx="3">
                  <c:v>0</c:v>
                </c:pt>
              </c:numCache>
            </c:numRef>
          </c:val>
        </c:ser>
        <c:gapWidth val="70"/>
        <c:overlap val="100"/>
        <c:axId val="324550016"/>
        <c:axId val="324568192"/>
        <c:extLst>
          <c:ext xmlns:c15="http://schemas.microsoft.com/office/drawing/2012/chart" uri="{02D57815-91ED-43cb-92C2-25804820EDAC}">
            <c15:filteredBarSeries>
              <c15:ser>
                <c:idx val="5"/>
                <c:order val="5"/>
                <c:tx>
                  <c:strRef>
                    <c:extLst>
                      <c:ext uri="{02D57815-91ED-43cb-92C2-25804820EDAC}">
                        <c15:formulaRef>
                          <c15:sqref>'Histogram Output'!$V$25</c15:sqref>
                        </c15:formulaRef>
                      </c:ext>
                    </c:extLst>
                    <c:strCache>
                      <c:ptCount val="1"/>
                      <c:pt idx="0">
                        <c:v>20.0% - 24.0%</c:v>
                      </c:pt>
                    </c:strCache>
                  </c:strRef>
                </c:tx>
                <c:spPr>
                  <a:solidFill>
                    <a:schemeClr val="accent4">
                      <a:lumMod val="60000"/>
                    </a:schemeClr>
                  </a:solidFill>
                  <a:ln>
                    <a:noFill/>
                  </a:ln>
                  <a:effectLst/>
                </c:spPr>
                <c:invertIfNegative val="0"/>
                <c:cat>
                  <c:numRef>
                    <c:extLst>
                      <c:ex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uri="{02D57815-91ED-43cb-92C2-25804820EDAC}">
                        <c15:fullRef>
                          <c15:sqref>'Histogram Output'!$V$26:$V$36</c15:sqref>
                        </c15:fullRef>
                        <c15:formulaRef>
                          <c15:sqref>'Histogram Output'!$V$26:$V$35</c15:sqref>
                        </c15:formulaRef>
                      </c:ext>
                    </c:extLst>
                    <c:numCache>
                      <c:formatCode>General</c:formatCode>
                      <c:ptCount val="10"/>
                      <c:pt idx="0">
                        <c:v>5</c:v>
                      </c:pt>
                      <c:pt idx="1">
                        <c:v>2</c:v>
                      </c:pt>
                      <c:pt idx="2">
                        <c:v>3</c:v>
                      </c:pt>
                      <c:pt idx="3">
                        <c:v>8</c:v>
                      </c:pt>
                      <c:pt idx="4">
                        <c:v>3</c:v>
                      </c:pt>
                      <c:pt idx="5">
                        <c:v>4</c:v>
                      </c:pt>
                      <c:pt idx="6">
                        <c:v>6</c:v>
                      </c:pt>
                      <c:pt idx="7">
                        <c:v>4</c:v>
                      </c:pt>
                      <c:pt idx="8">
                        <c:v>1</c:v>
                      </c:pt>
                      <c:pt idx="9">
                        <c:v>3</c:v>
                      </c:pt>
                    </c:numCache>
                  </c:numRef>
                </c:val>
              </c15:ser>
            </c15:filteredBarSeries>
            <c15:filteredBarSeries>
              <c15:ser>
                <c:idx val="6"/>
                <c:order val="6"/>
                <c:tx>
                  <c:strRef>
                    <c:extLst xmlns:c15="http://schemas.microsoft.com/office/drawing/2012/chart">
                      <c:ext xmlns:c15="http://schemas.microsoft.com/office/drawing/2012/chart" uri="{02D57815-91ED-43cb-92C2-25804820EDAC}">
                        <c15:formulaRef>
                          <c15:sqref>'Histogram Output'!$W$25</c15:sqref>
                        </c15:formulaRef>
                      </c:ext>
                    </c:extLst>
                    <c:strCache>
                      <c:ptCount val="1"/>
                      <c:pt idx="0">
                        <c:v>24.0% - 28.0%</c:v>
                      </c:pt>
                    </c:strCache>
                  </c:strRef>
                </c:tx>
                <c:spPr>
                  <a:solidFill>
                    <a:srgbClr val="FFC000"/>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Output'!$W$26:$W$36</c15:sqref>
                        </c15:fullRef>
                        <c15:formulaRef>
                          <c15:sqref>'Histogram Output'!$W$26:$W$35</c15:sqref>
                        </c15:formulaRef>
                      </c:ext>
                    </c:extLst>
                    <c:numCache>
                      <c:formatCode>General</c:formatCode>
                      <c:ptCount val="10"/>
                      <c:pt idx="0">
                        <c:v>4</c:v>
                      </c:pt>
                      <c:pt idx="1">
                        <c:v>4</c:v>
                      </c:pt>
                      <c:pt idx="2">
                        <c:v>3</c:v>
                      </c:pt>
                      <c:pt idx="3">
                        <c:v>3</c:v>
                      </c:pt>
                      <c:pt idx="4">
                        <c:v>1</c:v>
                      </c:pt>
                      <c:pt idx="5">
                        <c:v>1</c:v>
                      </c:pt>
                      <c:pt idx="6">
                        <c:v>4</c:v>
                      </c:pt>
                      <c:pt idx="7">
                        <c:v>3</c:v>
                      </c:pt>
                      <c:pt idx="8">
                        <c:v>5</c:v>
                      </c:pt>
                      <c:pt idx="9">
                        <c:v>1</c:v>
                      </c:pt>
                    </c:numCache>
                  </c:numRef>
                </c:val>
              </c15:ser>
            </c15:filteredBarSeries>
            <c15:filteredBarSeries>
              <c15:ser>
                <c:idx val="7"/>
                <c:order val="7"/>
                <c:tx>
                  <c:strRef>
                    <c:extLst xmlns:c15="http://schemas.microsoft.com/office/drawing/2012/chart">
                      <c:ext xmlns:c15="http://schemas.microsoft.com/office/drawing/2012/chart" uri="{02D57815-91ED-43cb-92C2-25804820EDAC}">
                        <c15:formulaRef>
                          <c15:sqref>'Histogram Output'!$X$25</c15:sqref>
                        </c15:formulaRef>
                      </c:ext>
                    </c:extLst>
                    <c:strCache>
                      <c:ptCount val="1"/>
                      <c:pt idx="0">
                        <c:v>28.0% - 32.0%</c:v>
                      </c:pt>
                    </c:strCache>
                  </c:strRef>
                </c:tx>
                <c:spPr>
                  <a:solidFill>
                    <a:schemeClr val="tx1">
                      <a:lumMod val="85000"/>
                      <a:lumOff val="15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Output'!$X$26:$X$36</c15:sqref>
                        </c15:fullRef>
                        <c15:formulaRef>
                          <c15:sqref>'Histogram Output'!$X$26:$X$35</c15:sqref>
                        </c15:formulaRef>
                      </c:ext>
                    </c:extLst>
                    <c:numCache>
                      <c:formatCode>General</c:formatCode>
                      <c:ptCount val="10"/>
                      <c:pt idx="0">
                        <c:v>1</c:v>
                      </c:pt>
                      <c:pt idx="1">
                        <c:v>1</c:v>
                      </c:pt>
                      <c:pt idx="2">
                        <c:v>1</c:v>
                      </c:pt>
                      <c:pt idx="3">
                        <c:v>0</c:v>
                      </c:pt>
                      <c:pt idx="4">
                        <c:v>0</c:v>
                      </c:pt>
                      <c:pt idx="5">
                        <c:v>3</c:v>
                      </c:pt>
                      <c:pt idx="6">
                        <c:v>3</c:v>
                      </c:pt>
                      <c:pt idx="7">
                        <c:v>2</c:v>
                      </c:pt>
                      <c:pt idx="8">
                        <c:v>1</c:v>
                      </c:pt>
                      <c:pt idx="9">
                        <c:v>1</c:v>
                      </c:pt>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'Histogram Output'!$Y$25</c15:sqref>
                        </c15:formulaRef>
                      </c:ext>
                    </c:extLst>
                    <c:strCache>
                      <c:ptCount val="1"/>
                      <c:pt idx="0">
                        <c:v>32.0% - 36.0%</c:v>
                      </c:pt>
                    </c:strCache>
                  </c:strRef>
                </c:tx>
                <c:spPr>
                  <a:solidFill>
                    <a:schemeClr val="accent4">
                      <a:lumMod val="80000"/>
                      <a:lumOff val="20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Output'!$Y$26:$Y$36</c15:sqref>
                        </c15:fullRef>
                        <c15:formulaRef>
                          <c15:sqref>'Histogram Output'!$Y$26:$Y$35</c15:sqref>
                        </c15:formulaRef>
                      </c:ext>
                    </c:extLst>
                    <c:numCache>
                      <c:formatCode>General</c:formatCode>
                      <c:ptCount val="10"/>
                      <c:pt idx="0">
                        <c:v>1</c:v>
                      </c:pt>
                      <c:pt idx="1">
                        <c:v>1</c:v>
                      </c:pt>
                      <c:pt idx="2">
                        <c:v>0</c:v>
                      </c:pt>
                      <c:pt idx="3">
                        <c:v>1</c:v>
                      </c:pt>
                      <c:pt idx="4">
                        <c:v>0</c:v>
                      </c:pt>
                      <c:pt idx="5">
                        <c:v>0</c:v>
                      </c:pt>
                      <c:pt idx="6">
                        <c:v>0</c:v>
                      </c:pt>
                      <c:pt idx="7">
                        <c:v>1</c:v>
                      </c:pt>
                      <c:pt idx="8">
                        <c:v>3</c:v>
                      </c:pt>
                      <c:pt idx="9">
                        <c:v>0</c:v>
                      </c:pt>
                    </c:numCache>
                  </c:numRef>
                </c:val>
              </c15:ser>
            </c15:filteredBarSeries>
            <c15:filteredBarSeries>
              <c15:ser>
                <c:idx val="9"/>
                <c:order val="9"/>
                <c:tx>
                  <c:strRef>
                    <c:extLst xmlns:c15="http://schemas.microsoft.com/office/drawing/2012/chart">
                      <c:ext xmlns:c15="http://schemas.microsoft.com/office/drawing/2012/chart" uri="{02D57815-91ED-43cb-92C2-25804820EDAC}">
                        <c15:formulaRef>
                          <c15:sqref>'Histogram Output'!$Z$25</c15:sqref>
                        </c15:formulaRef>
                      </c:ext>
                    </c:extLst>
                    <c:strCache>
                      <c:ptCount val="1"/>
                      <c:pt idx="0">
                        <c:v>36.0% - 40.0%</c:v>
                      </c:pt>
                    </c:strCache>
                  </c:strRef>
                </c:tx>
                <c:spPr>
                  <a:solidFill>
                    <a:schemeClr val="accent6">
                      <a:lumMod val="80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Output'!$Z$26:$Z$36</c15:sqref>
                        </c15:fullRef>
                        <c15:formulaRef>
                          <c15:sqref>'Histogram Output'!$Z$26:$Z$35</c15:sqref>
                        </c15:formulaRef>
                      </c:ext>
                    </c:extLst>
                    <c:numCache>
                      <c:formatCode>General</c:formatCode>
                      <c:ptCount val="10"/>
                      <c:pt idx="0">
                        <c:v>0</c:v>
                      </c:pt>
                      <c:pt idx="1">
                        <c:v>3</c:v>
                      </c:pt>
                      <c:pt idx="2">
                        <c:v>0</c:v>
                      </c:pt>
                      <c:pt idx="3">
                        <c:v>0</c:v>
                      </c:pt>
                      <c:pt idx="4">
                        <c:v>0</c:v>
                      </c:pt>
                      <c:pt idx="5">
                        <c:v>3</c:v>
                      </c:pt>
                      <c:pt idx="6">
                        <c:v>0</c:v>
                      </c:pt>
                      <c:pt idx="7">
                        <c:v>1</c:v>
                      </c:pt>
                      <c:pt idx="8">
                        <c:v>1</c:v>
                      </c:pt>
                      <c:pt idx="9">
                        <c:v>0</c:v>
                      </c:pt>
                    </c:numCache>
                  </c:numRef>
                </c:val>
              </c15:ser>
            </c15:filteredBarSeries>
            <c15:filteredBarSeries>
              <c15:ser>
                <c:idx val="10"/>
                <c:order val="10"/>
                <c:tx>
                  <c:strRef>
                    <c:extLst xmlns:c15="http://schemas.microsoft.com/office/drawing/2012/chart">
                      <c:ext xmlns:c15="http://schemas.microsoft.com/office/drawing/2012/chart" uri="{02D57815-91ED-43cb-92C2-25804820EDAC}">
                        <c15:formulaRef>
                          <c15:sqref>'Histogram Output'!$AA$25</c15:sqref>
                        </c15:formulaRef>
                      </c:ext>
                    </c:extLst>
                    <c:strCache>
                      <c:ptCount val="1"/>
                      <c:pt idx="0">
                        <c:v>40.0% - 44.0%</c:v>
                      </c:pt>
                    </c:strCache>
                  </c:strRef>
                </c:tx>
                <c:spPr>
                  <a:solidFill>
                    <a:schemeClr val="accent5">
                      <a:lumMod val="80000"/>
                    </a:schemeClr>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Output'!$AA$26:$AA$36</c15:sqref>
                        </c15:fullRef>
                        <c15:formulaRef>
                          <c15:sqref>'Histogram Output'!$AA$26:$AA$35</c15:sqref>
                        </c15:formulaRef>
                      </c:ext>
                    </c:extLst>
                    <c:numCache>
                      <c:formatCode>General</c:formatCode>
                      <c:ptCount val="10"/>
                      <c:pt idx="0">
                        <c:v>0</c:v>
                      </c:pt>
                      <c:pt idx="1">
                        <c:v>2</c:v>
                      </c:pt>
                      <c:pt idx="2">
                        <c:v>0</c:v>
                      </c:pt>
                      <c:pt idx="3">
                        <c:v>0</c:v>
                      </c:pt>
                      <c:pt idx="4">
                        <c:v>1</c:v>
                      </c:pt>
                      <c:pt idx="5">
                        <c:v>1</c:v>
                      </c:pt>
                      <c:pt idx="6">
                        <c:v>0</c:v>
                      </c:pt>
                      <c:pt idx="7">
                        <c:v>1</c:v>
                      </c:pt>
                      <c:pt idx="8">
                        <c:v>1</c:v>
                      </c:pt>
                      <c:pt idx="9">
                        <c:v>0</c:v>
                      </c:pt>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'Histogram Output'!$AB$25</c15:sqref>
                        </c15:formulaRef>
                      </c:ext>
                    </c:extLst>
                    <c:strCache>
                      <c:ptCount val="1"/>
                      <c:pt idx="0">
                        <c:v>44.0% - Higher</c:v>
                      </c:pt>
                    </c:strCache>
                  </c:strRef>
                </c:tx>
                <c:spPr>
                  <a:solidFill>
                    <a:srgbClr val="002060"/>
                  </a:solidFill>
                  <a:ln>
                    <a:noFill/>
                  </a:ln>
                  <a:effectLst/>
                </c:spPr>
                <c:invertIfNegative val="0"/>
                <c:cat>
                  <c:numRef>
                    <c:extLst>
                      <c:ext xmlns:c15="http://schemas.microsoft.com/office/drawing/2012/chart" uri="{02D57815-91ED-43cb-92C2-25804820EDAC}">
                        <c15:fullRef>
                          <c15:sqref>'Histogram Output'!$P$26:$P$36</c15:sqref>
                        </c15:fullRef>
                        <c15:formulaRef>
                          <c15:sqref>'Histogram Output'!$P$26:$P$35</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xmlns:c15="http://schemas.microsoft.com/office/drawing/2012/chart" uri="{02D57815-91ED-43cb-92C2-25804820EDAC}">
                        <c15:fullRef>
                          <c15:sqref>'Histogram Output'!$AB$26:$AB$36</c15:sqref>
                        </c15:fullRef>
                        <c15:formulaRef>
                          <c15:sqref>'Histogram Output'!$AB$26:$AB$35</c15:sqref>
                        </c15:formulaRef>
                      </c:ext>
                    </c:extLst>
                    <c:numCache>
                      <c:formatCode>General</c:formatCode>
                      <c:ptCount val="10"/>
                      <c:pt idx="0">
                        <c:v>4</c:v>
                      </c:pt>
                      <c:pt idx="1">
                        <c:v>3</c:v>
                      </c:pt>
                      <c:pt idx="2">
                        <c:v>0</c:v>
                      </c:pt>
                      <c:pt idx="3">
                        <c:v>1</c:v>
                      </c:pt>
                      <c:pt idx="4">
                        <c:v>3</c:v>
                      </c:pt>
                      <c:pt idx="5">
                        <c:v>2</c:v>
                      </c:pt>
                      <c:pt idx="6">
                        <c:v>2</c:v>
                      </c:pt>
                      <c:pt idx="7">
                        <c:v>1</c:v>
                      </c:pt>
                      <c:pt idx="8">
                        <c:v>2</c:v>
                      </c:pt>
                      <c:pt idx="9">
                        <c:v>2</c:v>
                      </c:pt>
                    </c:numCache>
                  </c:numRef>
                </c:val>
              </c15:ser>
            </c15:filteredBarSeries>
          </c:ext>
        </c:extLst>
      </c:barChart>
      <c:catAx>
        <c:axId val="324550016"/>
        <c:scaling>
          <c:orientation val="minMax"/>
        </c:scaling>
        <c:axPos val="b"/>
        <c:numFmt formatCode="General" sourceLinked="1"/>
        <c:majorTickMark val="none"/>
        <c:tickLblPos val="nextTo"/>
        <c:txPr>
          <a:bodyPr rot="0"/>
          <a:lstStyle/>
          <a:p>
            <a:pPr>
              <a:defRPr/>
            </a:pPr>
            <a:endParaRPr lang="en-US"/>
          </a:p>
        </c:txPr>
        <c:crossAx val="324568192"/>
        <c:crosses val="autoZero"/>
        <c:auto val="1"/>
        <c:lblAlgn val="ctr"/>
        <c:lblOffset val="100"/>
      </c:catAx>
      <c:valAx>
        <c:axId val="324568192"/>
        <c:scaling>
          <c:orientation val="minMax"/>
        </c:scaling>
        <c:axPos val="l"/>
        <c:title>
          <c:tx>
            <c:rich>
              <a:bodyPr rot="-5400000" vert="horz"/>
              <a:lstStyle/>
              <a:p>
                <a:pPr>
                  <a:defRPr/>
                </a:pPr>
                <a:r>
                  <a:rPr lang="en-NZ"/>
                  <a:t>Proportion</a:t>
                </a:r>
              </a:p>
            </c:rich>
          </c:tx>
          <c:layout>
            <c:manualLayout>
              <c:xMode val="edge"/>
              <c:yMode val="edge"/>
              <c:x val="7.8770236189901911E-3"/>
              <c:y val="0.28793723123406872"/>
            </c:manualLayout>
          </c:layout>
        </c:title>
        <c:numFmt formatCode="0%" sourceLinked="1"/>
        <c:majorTickMark val="none"/>
        <c:tickLblPos val="nextTo"/>
        <c:txPr>
          <a:bodyPr rot="-60000000" vert="horz"/>
          <a:lstStyle/>
          <a:p>
            <a:pPr>
              <a:defRPr/>
            </a:pPr>
            <a:endParaRPr lang="en-US"/>
          </a:p>
        </c:txPr>
        <c:crossAx val="324550016"/>
        <c:crosses val="autoZero"/>
        <c:crossBetween val="between"/>
      </c:valAx>
    </c:plotArea>
    <c:legend>
      <c:legendPos val="r"/>
      <c:layout>
        <c:manualLayout>
          <c:xMode val="edge"/>
          <c:yMode val="edge"/>
          <c:x val="0.71734438679718482"/>
          <c:y val="0.10742194655251633"/>
          <c:w val="0.27965208507044464"/>
          <c:h val="0.63691995045635263"/>
        </c:manualLayout>
      </c:layout>
      <c:txPr>
        <a:bodyPr rot="0" vert="horz"/>
        <a:lstStyle/>
        <a:p>
          <a:pPr>
            <a:defRPr/>
          </a:pPr>
          <a:endParaRPr lang="en-US"/>
        </a:p>
      </c:txPr>
    </c:legend>
    <c:plotVisOnly val="1"/>
    <c:dispBlanksAs val="gap"/>
  </c:chart>
  <c:spPr>
    <a:ln>
      <a:noFill/>
    </a:ln>
  </c:spPr>
  <c:txPr>
    <a:bodyPr/>
    <a:lstStyle/>
    <a:p>
      <a:pPr>
        <a:defRPr sz="800"/>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col"/>
        <c:grouping val="clustered"/>
        <c:ser>
          <c:idx val="0"/>
          <c:order val="0"/>
          <c:cat>
            <c:strRef>
              <c:f>'DataSet excl'!$AJ$2383:$AV$2383</c:f>
              <c:strCache>
                <c:ptCount val="13"/>
                <c:pt idx="0">
                  <c:v>Up to 2%</c:v>
                </c:pt>
                <c:pt idx="1">
                  <c:v>2% - 4%</c:v>
                </c:pt>
                <c:pt idx="2">
                  <c:v>4% - 6%</c:v>
                </c:pt>
                <c:pt idx="3">
                  <c:v>6% - 8%</c:v>
                </c:pt>
                <c:pt idx="4">
                  <c:v>8% - 10%</c:v>
                </c:pt>
                <c:pt idx="5">
                  <c:v>10% - 12%</c:v>
                </c:pt>
                <c:pt idx="6">
                  <c:v>12% - 14%</c:v>
                </c:pt>
                <c:pt idx="7">
                  <c:v>14% - 16%</c:v>
                </c:pt>
                <c:pt idx="8">
                  <c:v>16% - 18%</c:v>
                </c:pt>
                <c:pt idx="9">
                  <c:v>18% - 20%</c:v>
                </c:pt>
                <c:pt idx="10">
                  <c:v>20% - 22%</c:v>
                </c:pt>
                <c:pt idx="11">
                  <c:v>22% - 24%</c:v>
                </c:pt>
                <c:pt idx="12">
                  <c:v>over 24%</c:v>
                </c:pt>
              </c:strCache>
            </c:strRef>
          </c:cat>
          <c:val>
            <c:numRef>
              <c:f>'DataSet excl'!$AJ$2384:$AV$2384</c:f>
              <c:numCache>
                <c:formatCode>General</c:formatCode>
                <c:ptCount val="13"/>
                <c:pt idx="0">
                  <c:v>98</c:v>
                </c:pt>
                <c:pt idx="1">
                  <c:v>51</c:v>
                </c:pt>
                <c:pt idx="2">
                  <c:v>115</c:v>
                </c:pt>
                <c:pt idx="3">
                  <c:v>206</c:v>
                </c:pt>
                <c:pt idx="4">
                  <c:v>279</c:v>
                </c:pt>
                <c:pt idx="5">
                  <c:v>301</c:v>
                </c:pt>
                <c:pt idx="6">
                  <c:v>296</c:v>
                </c:pt>
                <c:pt idx="7">
                  <c:v>244</c:v>
                </c:pt>
                <c:pt idx="8">
                  <c:v>209</c:v>
                </c:pt>
                <c:pt idx="9">
                  <c:v>152</c:v>
                </c:pt>
                <c:pt idx="10">
                  <c:v>121</c:v>
                </c:pt>
                <c:pt idx="11">
                  <c:v>65</c:v>
                </c:pt>
                <c:pt idx="12">
                  <c:v>242</c:v>
                </c:pt>
              </c:numCache>
            </c:numRef>
          </c:val>
        </c:ser>
        <c:axId val="325198592"/>
        <c:axId val="325200512"/>
      </c:barChart>
      <c:catAx>
        <c:axId val="325198592"/>
        <c:scaling>
          <c:orientation val="minMax"/>
        </c:scaling>
        <c:axPos val="b"/>
        <c:title>
          <c:tx>
            <c:rich>
              <a:bodyPr/>
              <a:lstStyle/>
              <a:p>
                <a:pPr>
                  <a:defRPr/>
                </a:pPr>
                <a:r>
                  <a:rPr lang="en-NZ"/>
                  <a:t>Teaching support roles as proportion of total teaching staff</a:t>
                </a:r>
              </a:p>
            </c:rich>
          </c:tx>
        </c:title>
        <c:numFmt formatCode="General" sourceLinked="0"/>
        <c:majorTickMark val="none"/>
        <c:tickLblPos val="nextTo"/>
        <c:crossAx val="325200512"/>
        <c:crosses val="autoZero"/>
        <c:auto val="1"/>
        <c:lblAlgn val="ctr"/>
        <c:lblOffset val="100"/>
      </c:catAx>
      <c:valAx>
        <c:axId val="325200512"/>
        <c:scaling>
          <c:orientation val="minMax"/>
        </c:scaling>
        <c:axPos val="l"/>
        <c:title>
          <c:tx>
            <c:rich>
              <a:bodyPr rot="-5400000" vert="horz"/>
              <a:lstStyle/>
              <a:p>
                <a:pPr>
                  <a:defRPr/>
                </a:pPr>
                <a:r>
                  <a:rPr lang="en-NZ"/>
                  <a:t>Number of schools</a:t>
                </a:r>
              </a:p>
            </c:rich>
          </c:tx>
        </c:title>
        <c:numFmt formatCode="General" sourceLinked="1"/>
        <c:majorTickMark val="none"/>
        <c:tickLblPos val="nextTo"/>
        <c:crossAx val="325198592"/>
        <c:crosses val="autoZero"/>
        <c:crossBetween val="between"/>
      </c:valAx>
    </c:plotArea>
    <c:plotVisOnly val="1"/>
    <c:dispBlanksAs val="gap"/>
  </c:chart>
  <c:spPr>
    <a:ln>
      <a:noFill/>
    </a:ln>
  </c:spPr>
  <c:txPr>
    <a:bodyPr/>
    <a:lstStyle/>
    <a:p>
      <a:pPr>
        <a:defRPr sz="800"/>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bar"/>
        <c:grouping val="clustered"/>
        <c:ser>
          <c:idx val="0"/>
          <c:order val="0"/>
          <c:dLbls>
            <c:numFmt formatCode="#,##0.00" sourceLinked="0"/>
            <c:spPr>
              <a:noFill/>
              <a:ln>
                <a:noFill/>
              </a:ln>
              <a:effectLst/>
            </c:spPr>
            <c:showVal val="1"/>
            <c:extLst>
              <c:ext xmlns:c15="http://schemas.microsoft.com/office/drawing/2012/chart" uri="{CE6537A1-D6FC-4f65-9D91-7224C49458BB}">
                <c15:showLeaderLines val="0"/>
              </c:ext>
            </c:extLst>
          </c:dLbls>
          <c:cat>
            <c:strRef>
              <c:f>'DataSet excl'!$F$2440:$F$2451</c:f>
              <c:strCache>
                <c:ptCount val="12"/>
                <c:pt idx="0">
                  <c:v>up to 50</c:v>
                </c:pt>
                <c:pt idx="1">
                  <c:v>51 - 80</c:v>
                </c:pt>
                <c:pt idx="2">
                  <c:v>81 - 120</c:v>
                </c:pt>
                <c:pt idx="3">
                  <c:v>121 - 160</c:v>
                </c:pt>
                <c:pt idx="4">
                  <c:v>161 - 200</c:v>
                </c:pt>
                <c:pt idx="5">
                  <c:v>201 - 300</c:v>
                </c:pt>
                <c:pt idx="6">
                  <c:v>301 - 500</c:v>
                </c:pt>
                <c:pt idx="7">
                  <c:v>501 - 750</c:v>
                </c:pt>
                <c:pt idx="8">
                  <c:v>751 - 1000</c:v>
                </c:pt>
                <c:pt idx="9">
                  <c:v>1001 - 1400</c:v>
                </c:pt>
                <c:pt idx="10">
                  <c:v>1401 - 1800</c:v>
                </c:pt>
                <c:pt idx="11">
                  <c:v>over 1800</c:v>
                </c:pt>
              </c:strCache>
            </c:strRef>
          </c:cat>
          <c:val>
            <c:numRef>
              <c:f>'DataSet excl'!$G$2440:$G$2451</c:f>
              <c:numCache>
                <c:formatCode>General</c:formatCode>
                <c:ptCount val="12"/>
                <c:pt idx="0">
                  <c:v>4.1728676964405613</c:v>
                </c:pt>
                <c:pt idx="1">
                  <c:v>4.6529731882134353</c:v>
                </c:pt>
                <c:pt idx="2">
                  <c:v>5.3148824006488242</c:v>
                </c:pt>
                <c:pt idx="3">
                  <c:v>5.759770114942544</c:v>
                </c:pt>
                <c:pt idx="4">
                  <c:v>5.8820797493748103</c:v>
                </c:pt>
                <c:pt idx="5">
                  <c:v>6.3267508375304615</c:v>
                </c:pt>
                <c:pt idx="6">
                  <c:v>6.6206574959197999</c:v>
                </c:pt>
                <c:pt idx="7">
                  <c:v>7.8152452615173305</c:v>
                </c:pt>
                <c:pt idx="8">
                  <c:v>9.9659418326889764</c:v>
                </c:pt>
                <c:pt idx="9">
                  <c:v>10.724489069287218</c:v>
                </c:pt>
                <c:pt idx="10">
                  <c:v>9.7986747653230033</c:v>
                </c:pt>
                <c:pt idx="11">
                  <c:v>14.438976289722548</c:v>
                </c:pt>
              </c:numCache>
            </c:numRef>
          </c:val>
        </c:ser>
        <c:axId val="325228800"/>
        <c:axId val="325235072"/>
      </c:barChart>
      <c:catAx>
        <c:axId val="325228800"/>
        <c:scaling>
          <c:orientation val="minMax"/>
        </c:scaling>
        <c:axPos val="l"/>
        <c:title>
          <c:tx>
            <c:rich>
              <a:bodyPr rot="-5400000" vert="horz"/>
              <a:lstStyle/>
              <a:p>
                <a:pPr>
                  <a:defRPr/>
                </a:pPr>
                <a:r>
                  <a:rPr lang="en-NZ"/>
                  <a:t>School size - number of students</a:t>
                </a:r>
              </a:p>
            </c:rich>
          </c:tx>
        </c:title>
        <c:numFmt formatCode="General" sourceLinked="0"/>
        <c:tickLblPos val="nextTo"/>
        <c:crossAx val="325235072"/>
        <c:crosses val="autoZero"/>
        <c:auto val="1"/>
        <c:lblAlgn val="ctr"/>
        <c:lblOffset val="100"/>
      </c:catAx>
      <c:valAx>
        <c:axId val="325235072"/>
        <c:scaling>
          <c:orientation val="minMax"/>
        </c:scaling>
        <c:axPos val="b"/>
        <c:title>
          <c:tx>
            <c:rich>
              <a:bodyPr/>
              <a:lstStyle/>
              <a:p>
                <a:pPr>
                  <a:defRPr/>
                </a:pPr>
                <a:r>
                  <a:rPr lang="en-NZ"/>
                  <a:t>Number of teachers per teaching support staff (FTE)</a:t>
                </a:r>
              </a:p>
            </c:rich>
          </c:tx>
          <c:layout>
            <c:manualLayout>
              <c:xMode val="edge"/>
              <c:yMode val="edge"/>
              <c:x val="0.21421171304111741"/>
              <c:y val="0.86782707871822462"/>
            </c:manualLayout>
          </c:layout>
        </c:title>
        <c:numFmt formatCode="General" sourceLinked="1"/>
        <c:tickLblPos val="nextTo"/>
        <c:crossAx val="325228800"/>
        <c:crosses val="autoZero"/>
        <c:crossBetween val="between"/>
      </c:valAx>
    </c:plotArea>
    <c:plotVisOnly val="1"/>
    <c:dispBlanksAs val="gap"/>
  </c:chart>
  <c:spPr>
    <a:ln>
      <a:noFill/>
    </a:ln>
  </c:spPr>
  <c:txPr>
    <a:bodyPr/>
    <a:lstStyle/>
    <a:p>
      <a:pPr>
        <a:defRPr sz="800"/>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1854939548406834"/>
          <c:y val="7.6268700498679967E-2"/>
          <c:w val="0.72388170979963218"/>
          <c:h val="0.69895344190805719"/>
        </c:manualLayout>
      </c:layout>
      <c:barChart>
        <c:barDir val="bar"/>
        <c:grouping val="clustered"/>
        <c:ser>
          <c:idx val="0"/>
          <c:order val="0"/>
          <c:dLbls>
            <c:numFmt formatCode="#,##0.00" sourceLinked="0"/>
            <c:spPr>
              <a:noFill/>
              <a:ln>
                <a:noFill/>
              </a:ln>
              <a:effectLst/>
            </c:spPr>
            <c:showVal val="1"/>
            <c:extLst>
              <c:ext xmlns:c15="http://schemas.microsoft.com/office/drawing/2012/chart" uri="{CE6537A1-D6FC-4f65-9D91-7224C49458BB}">
                <c15:showLeaderLines val="0"/>
              </c:ext>
            </c:extLst>
          </c:dLbls>
          <c:val>
            <c:numRef>
              <c:f>'DataSet excl'!$G$2385:$G$2394</c:f>
              <c:numCache>
                <c:formatCode>General</c:formatCode>
                <c:ptCount val="10"/>
                <c:pt idx="0">
                  <c:v>5.2546730168484652</c:v>
                </c:pt>
                <c:pt idx="1">
                  <c:v>5.0459041931714896</c:v>
                </c:pt>
                <c:pt idx="2">
                  <c:v>6.3291959791489143</c:v>
                </c:pt>
                <c:pt idx="3">
                  <c:v>6.7379577583434145</c:v>
                </c:pt>
                <c:pt idx="4">
                  <c:v>8.3252510087266725</c:v>
                </c:pt>
                <c:pt idx="5">
                  <c:v>8.2310912409369958</c:v>
                </c:pt>
                <c:pt idx="6">
                  <c:v>7.8346018691588775</c:v>
                </c:pt>
                <c:pt idx="7">
                  <c:v>8.8919122962011095</c:v>
                </c:pt>
                <c:pt idx="8">
                  <c:v>9.9125866741755218</c:v>
                </c:pt>
                <c:pt idx="9">
                  <c:v>9.7852165953710823</c:v>
                </c:pt>
              </c:numCache>
            </c:numRef>
          </c:val>
        </c:ser>
        <c:axId val="325152768"/>
        <c:axId val="325154688"/>
      </c:barChart>
      <c:catAx>
        <c:axId val="325152768"/>
        <c:scaling>
          <c:orientation val="minMax"/>
        </c:scaling>
        <c:axPos val="l"/>
        <c:title>
          <c:tx>
            <c:rich>
              <a:bodyPr rot="-5400000" vert="horz"/>
              <a:lstStyle/>
              <a:p>
                <a:pPr>
                  <a:defRPr/>
                </a:pPr>
                <a:r>
                  <a:rPr lang="en-US"/>
                  <a:t>School Decile</a:t>
                </a:r>
              </a:p>
            </c:rich>
          </c:tx>
        </c:title>
        <c:tickLblPos val="nextTo"/>
        <c:crossAx val="325154688"/>
        <c:crosses val="autoZero"/>
        <c:auto val="1"/>
        <c:lblAlgn val="ctr"/>
        <c:lblOffset val="100"/>
      </c:catAx>
      <c:valAx>
        <c:axId val="325154688"/>
        <c:scaling>
          <c:orientation val="minMax"/>
        </c:scaling>
        <c:axPos val="b"/>
        <c:title>
          <c:tx>
            <c:rich>
              <a:bodyPr/>
              <a:lstStyle/>
              <a:p>
                <a:pPr>
                  <a:defRPr/>
                </a:pPr>
                <a:r>
                  <a:rPr lang="en-US"/>
                  <a:t>Number of teachers per teaching support staff (FTE)</a:t>
                </a:r>
              </a:p>
            </c:rich>
          </c:tx>
        </c:title>
        <c:numFmt formatCode="General" sourceLinked="1"/>
        <c:tickLblPos val="nextTo"/>
        <c:crossAx val="325152768"/>
        <c:crosses val="autoZero"/>
        <c:crossBetween val="between"/>
      </c:valAx>
    </c:plotArea>
    <c:plotVisOnly val="1"/>
    <c:dispBlanksAs val="gap"/>
  </c:chart>
  <c:spPr>
    <a:ln>
      <a:noFill/>
    </a:ln>
  </c:spPr>
  <c:txPr>
    <a:bodyPr/>
    <a:lstStyle/>
    <a:p>
      <a:pPr>
        <a:defRPr sz="800"/>
      </a:pPr>
      <a:endParaRPr lang="en-U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bar"/>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'DataSet excl'!$T$2584:$T$2587</c:f>
              <c:strCache>
                <c:ptCount val="4"/>
                <c:pt idx="0">
                  <c:v>Primary</c:v>
                </c:pt>
                <c:pt idx="1">
                  <c:v>Intermediate</c:v>
                </c:pt>
                <c:pt idx="2">
                  <c:v>Secondary</c:v>
                </c:pt>
                <c:pt idx="3">
                  <c:v>Composite</c:v>
                </c:pt>
              </c:strCache>
            </c:strRef>
          </c:cat>
          <c:val>
            <c:numRef>
              <c:f>'DataSet excl'!$U$2584:$U$2587</c:f>
              <c:numCache>
                <c:formatCode>0%</c:formatCode>
                <c:ptCount val="4"/>
                <c:pt idx="0">
                  <c:v>0.35592286501377557</c:v>
                </c:pt>
                <c:pt idx="1">
                  <c:v>9.5652173913043759E-2</c:v>
                </c:pt>
                <c:pt idx="2">
                  <c:v>8.9783281733746112E-2</c:v>
                </c:pt>
                <c:pt idx="3">
                  <c:v>0.27642276422764411</c:v>
                </c:pt>
              </c:numCache>
            </c:numRef>
          </c:val>
        </c:ser>
        <c:axId val="325170688"/>
        <c:axId val="325172224"/>
      </c:barChart>
      <c:catAx>
        <c:axId val="325170688"/>
        <c:scaling>
          <c:orientation val="minMax"/>
        </c:scaling>
        <c:axPos val="l"/>
        <c:numFmt formatCode="General" sourceLinked="0"/>
        <c:majorTickMark val="none"/>
        <c:tickLblPos val="nextTo"/>
        <c:crossAx val="325172224"/>
        <c:crosses val="autoZero"/>
        <c:auto val="1"/>
        <c:lblAlgn val="ctr"/>
        <c:lblOffset val="100"/>
      </c:catAx>
      <c:valAx>
        <c:axId val="325172224"/>
        <c:scaling>
          <c:orientation val="minMax"/>
        </c:scaling>
        <c:axPos val="b"/>
        <c:numFmt formatCode="0%" sourceLinked="1"/>
        <c:tickLblPos val="nextTo"/>
        <c:crossAx val="325170688"/>
        <c:crosses val="autoZero"/>
        <c:crossBetween val="between"/>
      </c:valAx>
    </c:plotArea>
    <c:plotVisOnly val="1"/>
    <c:dispBlanksAs val="gap"/>
  </c:chart>
  <c:spPr>
    <a:ln>
      <a:noFill/>
    </a:ln>
  </c:spPr>
  <c:txPr>
    <a:bodyPr/>
    <a:lstStyle/>
    <a:p>
      <a:pPr>
        <a:defRPr sz="800"/>
      </a:pPr>
      <a:endParaRPr lang="en-U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4488213030362571"/>
          <c:y val="5.5842897978583134E-2"/>
          <c:w val="0.82193253614101369"/>
          <c:h val="0.70433547482644254"/>
        </c:manualLayout>
      </c:layout>
      <c:barChart>
        <c:barDir val="col"/>
        <c:grouping val="clustered"/>
        <c:ser>
          <c:idx val="0"/>
          <c:order val="0"/>
          <c:cat>
            <c:strRef>
              <c:f>'DataSet excl FTE'!$AK$2383:$AQ$2383</c:f>
              <c:strCache>
                <c:ptCount val="7"/>
                <c:pt idx="0">
                  <c:v>Up to 2%</c:v>
                </c:pt>
                <c:pt idx="1">
                  <c:v>2% - 4%</c:v>
                </c:pt>
                <c:pt idx="2">
                  <c:v>4% - 6%</c:v>
                </c:pt>
                <c:pt idx="3">
                  <c:v>6% - 8%</c:v>
                </c:pt>
                <c:pt idx="4">
                  <c:v>8% - 10%</c:v>
                </c:pt>
                <c:pt idx="5">
                  <c:v>10% - 12%</c:v>
                </c:pt>
                <c:pt idx="6">
                  <c:v>over 12%</c:v>
                </c:pt>
              </c:strCache>
            </c:strRef>
          </c:cat>
          <c:val>
            <c:numRef>
              <c:f>'DataSet excl FTE'!$AK$2384:$AQ$2384</c:f>
              <c:numCache>
                <c:formatCode>General</c:formatCode>
                <c:ptCount val="7"/>
                <c:pt idx="0">
                  <c:v>177</c:v>
                </c:pt>
                <c:pt idx="1">
                  <c:v>515</c:v>
                </c:pt>
                <c:pt idx="2">
                  <c:v>700</c:v>
                </c:pt>
                <c:pt idx="3">
                  <c:v>445</c:v>
                </c:pt>
                <c:pt idx="4">
                  <c:v>259</c:v>
                </c:pt>
                <c:pt idx="5">
                  <c:v>132</c:v>
                </c:pt>
                <c:pt idx="6">
                  <c:v>151</c:v>
                </c:pt>
              </c:numCache>
            </c:numRef>
          </c:val>
        </c:ser>
        <c:axId val="325461888"/>
        <c:axId val="325464064"/>
      </c:barChart>
      <c:catAx>
        <c:axId val="325461888"/>
        <c:scaling>
          <c:orientation val="minMax"/>
        </c:scaling>
        <c:axPos val="b"/>
        <c:title>
          <c:tx>
            <c:rich>
              <a:bodyPr/>
              <a:lstStyle/>
              <a:p>
                <a:pPr>
                  <a:defRPr/>
                </a:pPr>
                <a:r>
                  <a:rPr lang="en-NZ"/>
                  <a:t>Percent of teachers that are Relievers</a:t>
                </a:r>
              </a:p>
            </c:rich>
          </c:tx>
        </c:title>
        <c:numFmt formatCode="General" sourceLinked="0"/>
        <c:majorTickMark val="none"/>
        <c:tickLblPos val="nextTo"/>
        <c:txPr>
          <a:bodyPr/>
          <a:lstStyle/>
          <a:p>
            <a:pPr>
              <a:defRPr sz="900"/>
            </a:pPr>
            <a:endParaRPr lang="en-US"/>
          </a:p>
        </c:txPr>
        <c:crossAx val="325464064"/>
        <c:crosses val="autoZero"/>
        <c:auto val="1"/>
        <c:lblAlgn val="ctr"/>
        <c:lblOffset val="100"/>
      </c:catAx>
      <c:valAx>
        <c:axId val="325464064"/>
        <c:scaling>
          <c:orientation val="minMax"/>
        </c:scaling>
        <c:axPos val="l"/>
        <c:title>
          <c:tx>
            <c:rich>
              <a:bodyPr rot="-5400000" vert="horz"/>
              <a:lstStyle/>
              <a:p>
                <a:pPr>
                  <a:defRPr/>
                </a:pPr>
                <a:r>
                  <a:rPr lang="en-NZ"/>
                  <a:t>Frequency - number of schools</a:t>
                </a:r>
              </a:p>
            </c:rich>
          </c:tx>
        </c:title>
        <c:numFmt formatCode="General" sourceLinked="1"/>
        <c:majorTickMark val="none"/>
        <c:tickLblPos val="nextTo"/>
        <c:crossAx val="325461888"/>
        <c:crosses val="autoZero"/>
        <c:crossBetween val="between"/>
      </c:valAx>
    </c:plotArea>
    <c:plotVisOnly val="1"/>
    <c:dispBlanksAs val="gap"/>
  </c:chart>
  <c:spPr>
    <a:ln>
      <a:noFill/>
    </a:ln>
  </c:spPr>
  <c:txPr>
    <a:bodyPr/>
    <a:lstStyle/>
    <a:p>
      <a:pPr>
        <a:defRPr sz="800"/>
      </a:pPr>
      <a:endParaRPr lang="en-U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bar"/>
        <c:grouping val="clustered"/>
        <c:ser>
          <c:idx val="0"/>
          <c:order val="0"/>
          <c:dLbls>
            <c:numFmt formatCode="#,##0.00" sourceLinked="0"/>
            <c:spPr>
              <a:noFill/>
              <a:ln>
                <a:noFill/>
              </a:ln>
              <a:effectLst/>
            </c:spPr>
            <c:showVal val="1"/>
            <c:extLst>
              <c:ext xmlns:c15="http://schemas.microsoft.com/office/drawing/2012/chart" uri="{CE6537A1-D6FC-4f65-9D91-7224C49458BB}">
                <c15:showLeaderLines val="0"/>
              </c:ext>
            </c:extLst>
          </c:dLbls>
          <c:cat>
            <c:strRef>
              <c:f>'DataSet excl FTE'!$D$2440:$D$2450</c:f>
              <c:strCache>
                <c:ptCount val="11"/>
                <c:pt idx="0">
                  <c:v>up to 50</c:v>
                </c:pt>
                <c:pt idx="1">
                  <c:v>51 - 80</c:v>
                </c:pt>
                <c:pt idx="2">
                  <c:v>81 - 120</c:v>
                </c:pt>
                <c:pt idx="3">
                  <c:v>121 - 160</c:v>
                </c:pt>
                <c:pt idx="4">
                  <c:v>161 - 200</c:v>
                </c:pt>
                <c:pt idx="5">
                  <c:v>201 - 300</c:v>
                </c:pt>
                <c:pt idx="6">
                  <c:v>301 - 500</c:v>
                </c:pt>
                <c:pt idx="7">
                  <c:v>501 - 750</c:v>
                </c:pt>
                <c:pt idx="8">
                  <c:v>751 - 1000</c:v>
                </c:pt>
                <c:pt idx="9">
                  <c:v>1001 - 1400</c:v>
                </c:pt>
                <c:pt idx="10">
                  <c:v>over 1400</c:v>
                </c:pt>
              </c:strCache>
            </c:strRef>
          </c:cat>
          <c:val>
            <c:numRef>
              <c:f>'DataSet excl FTE'!$E$2440:$E$2450</c:f>
              <c:numCache>
                <c:formatCode>General</c:formatCode>
                <c:ptCount val="11"/>
                <c:pt idx="0">
                  <c:v>11.527521423862849</c:v>
                </c:pt>
                <c:pt idx="1">
                  <c:v>15.373697660703765</c:v>
                </c:pt>
                <c:pt idx="2">
                  <c:v>15.782379654859209</c:v>
                </c:pt>
                <c:pt idx="3">
                  <c:v>15.278943107382018</c:v>
                </c:pt>
                <c:pt idx="4">
                  <c:v>17.310311785951217</c:v>
                </c:pt>
                <c:pt idx="5">
                  <c:v>17.84286810721462</c:v>
                </c:pt>
                <c:pt idx="6">
                  <c:v>17.648937390655906</c:v>
                </c:pt>
                <c:pt idx="7">
                  <c:v>18.654329805830713</c:v>
                </c:pt>
                <c:pt idx="8">
                  <c:v>21.323782525058228</c:v>
                </c:pt>
                <c:pt idx="9">
                  <c:v>25.842988391923829</c:v>
                </c:pt>
                <c:pt idx="10">
                  <c:v>25.182705486563879</c:v>
                </c:pt>
              </c:numCache>
            </c:numRef>
          </c:val>
        </c:ser>
        <c:axId val="325483904"/>
        <c:axId val="325502464"/>
      </c:barChart>
      <c:catAx>
        <c:axId val="325483904"/>
        <c:scaling>
          <c:orientation val="minMax"/>
        </c:scaling>
        <c:axPos val="l"/>
        <c:title>
          <c:tx>
            <c:rich>
              <a:bodyPr rot="-5400000" vert="horz"/>
              <a:lstStyle/>
              <a:p>
                <a:pPr>
                  <a:defRPr/>
                </a:pPr>
                <a:r>
                  <a:rPr lang="en-NZ"/>
                  <a:t>School size - number of students</a:t>
                </a:r>
              </a:p>
            </c:rich>
          </c:tx>
        </c:title>
        <c:numFmt formatCode="General" sourceLinked="0"/>
        <c:majorTickMark val="none"/>
        <c:tickLblPos val="nextTo"/>
        <c:crossAx val="325502464"/>
        <c:crosses val="autoZero"/>
        <c:auto val="1"/>
        <c:lblAlgn val="ctr"/>
        <c:lblOffset val="100"/>
      </c:catAx>
      <c:valAx>
        <c:axId val="325502464"/>
        <c:scaling>
          <c:orientation val="minMax"/>
        </c:scaling>
        <c:axPos val="b"/>
        <c:title>
          <c:tx>
            <c:rich>
              <a:bodyPr/>
              <a:lstStyle/>
              <a:p>
                <a:pPr>
                  <a:defRPr/>
                </a:pPr>
                <a:r>
                  <a:rPr lang="en-NZ"/>
                  <a:t>Regular Teachers per Reliever</a:t>
                </a:r>
              </a:p>
            </c:rich>
          </c:tx>
        </c:title>
        <c:numFmt formatCode="General" sourceLinked="1"/>
        <c:majorTickMark val="none"/>
        <c:tickLblPos val="nextTo"/>
        <c:crossAx val="325483904"/>
        <c:crosses val="autoZero"/>
        <c:crossBetween val="between"/>
      </c:valAx>
    </c:plotArea>
    <c:plotVisOnly val="1"/>
    <c:dispBlanksAs val="gap"/>
  </c:chart>
  <c:spPr>
    <a:ln>
      <a:noFill/>
    </a:ln>
  </c:spPr>
  <c:txPr>
    <a:bodyPr/>
    <a:lstStyle/>
    <a:p>
      <a:pPr>
        <a:defRPr sz="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NZ"/>
  <c:chart>
    <c:title>
      <c:tx>
        <c:rich>
          <a:bodyPr/>
          <a:lstStyle/>
          <a:p>
            <a:pPr>
              <a:defRPr/>
            </a:pPr>
            <a:r>
              <a:rPr lang="en-NZ" sz="900" b="1">
                <a:effectLst/>
              </a:rPr>
              <a:t>Composite - Total Funding $0.29 billion</a:t>
            </a:r>
            <a:endParaRPr lang="en-NZ" sz="900">
              <a:effectLst/>
            </a:endParaRPr>
          </a:p>
        </c:rich>
      </c:tx>
      <c:layout>
        <c:manualLayout>
          <c:xMode val="edge"/>
          <c:yMode val="edge"/>
          <c:x val="1.8645941395554573E-3"/>
          <c:y val="0"/>
        </c:manualLayout>
      </c:layout>
    </c:title>
    <c:plotArea>
      <c:layout>
        <c:manualLayout>
          <c:layoutTarget val="inner"/>
          <c:xMode val="edge"/>
          <c:yMode val="edge"/>
          <c:x val="0.10910744148342172"/>
          <c:y val="0.13723926740750048"/>
          <c:w val="0.36951367040243088"/>
          <c:h val="0.85485424415219402"/>
        </c:manualLayout>
      </c:layout>
      <c:doughnutChart>
        <c:varyColors val="1"/>
        <c:ser>
          <c:idx val="0"/>
          <c:order val="0"/>
          <c:dLbls>
            <c:dLbl>
              <c:idx val="0"/>
              <c:layout>
                <c:manualLayout>
                  <c:x val="4.6076313894888463E-2"/>
                  <c:y val="-0.33733376581252156"/>
                </c:manualLayout>
              </c:layout>
              <c:showVal val="1"/>
              <c:extLst>
                <c:ext xmlns:c15="http://schemas.microsoft.com/office/drawing/2012/chart" uri="{CE6537A1-D6FC-4f65-9D91-7224C49458BB}"/>
              </c:extLst>
            </c:dLbl>
            <c:dLbl>
              <c:idx val="1"/>
              <c:layout>
                <c:manualLayout>
                  <c:x val="-8.9272858171346559E-2"/>
                  <c:y val="9.0820629257217067E-2"/>
                </c:manualLayout>
              </c:layout>
              <c:showVal val="1"/>
              <c:extLst>
                <c:ext xmlns:c15="http://schemas.microsoft.com/office/drawing/2012/chart" uri="{CE6537A1-D6FC-4f65-9D91-7224C49458BB}"/>
              </c:extLst>
            </c:dLbl>
            <c:dLbl>
              <c:idx val="2"/>
              <c:layout>
                <c:manualLayout>
                  <c:x val="-8.9272858171346559E-2"/>
                  <c:y val="-2.5948751216347703E-2"/>
                </c:manualLayout>
              </c:layout>
              <c:showVal val="1"/>
              <c:extLst>
                <c:ext xmlns:c15="http://schemas.microsoft.com/office/drawing/2012/chart" uri="{CE6537A1-D6FC-4f65-9D91-7224C49458BB}"/>
              </c:extLst>
            </c:dLbl>
            <c:dLbl>
              <c:idx val="3"/>
              <c:layout>
                <c:manualLayout>
                  <c:x val="-7.1994240460763109E-2"/>
                  <c:y val="-9.7307817061303911E-2"/>
                </c:manualLayout>
              </c:layout>
              <c:showVal val="1"/>
              <c:extLst>
                <c:ext xmlns:c15="http://schemas.microsoft.com/office/drawing/2012/chart" uri="{CE6537A1-D6FC-4f65-9D91-7224C49458BB}"/>
              </c:extLst>
            </c:dLbl>
            <c:dLbl>
              <c:idx val="4"/>
              <c:layout>
                <c:manualLayout>
                  <c:x val="-5.7595392368610505E-2"/>
                  <c:y val="-0.12974375608173871"/>
                </c:manualLayout>
              </c:layout>
              <c:showVal val="1"/>
              <c:extLst>
                <c:ext xmlns:c15="http://schemas.microsoft.com/office/drawing/2012/chart" uri="{CE6537A1-D6FC-4f65-9D91-7224C49458BB}"/>
              </c:extLst>
            </c:dLbl>
            <c:dLbl>
              <c:idx val="5"/>
              <c:layout>
                <c:manualLayout>
                  <c:x val="-3.167746580273581E-2"/>
                  <c:y val="-0.16866688290626047"/>
                </c:manualLayout>
              </c:layout>
              <c:showVal val="1"/>
              <c:extLst>
                <c:ext xmlns:c15="http://schemas.microsoft.com/office/drawing/2012/chart" uri="{CE6537A1-D6FC-4f65-9D91-7224C49458BB}"/>
              </c:extLst>
            </c:dLbl>
            <c:dLbl>
              <c:idx val="6"/>
              <c:layout>
                <c:manualLayout>
                  <c:x val="-5.7595392368611133E-3"/>
                  <c:y val="-0.14920531949399976"/>
                </c:manualLayout>
              </c:layout>
              <c:showVal val="1"/>
              <c:extLs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showVal val="1"/>
            <c:extLst>
              <c:ext xmlns:c15="http://schemas.microsoft.com/office/drawing/2012/chart" uri="{CE6537A1-D6FC-4f65-9D91-7224C49458BB}"/>
            </c:extLst>
          </c:dLbls>
          <c:cat>
            <c:strRef>
              <c:f>SummaryStats!$B$272:$B$278</c:f>
              <c:strCache>
                <c:ptCount val="7"/>
                <c:pt idx="0">
                  <c:v>Teachers salaries grants</c:v>
                </c:pt>
                <c:pt idx="1">
                  <c:v> Use of land and buildings</c:v>
                </c:pt>
                <c:pt idx="2">
                  <c:v>Operational grants</c:v>
                </c:pt>
                <c:pt idx="3">
                  <c:v>Other govt grants</c:v>
                </c:pt>
                <c:pt idx="4">
                  <c:v>Locally raised funds (excl. international students)</c:v>
                </c:pt>
                <c:pt idx="5">
                  <c:v>International students</c:v>
                </c:pt>
                <c:pt idx="6">
                  <c:v>Other</c:v>
                </c:pt>
              </c:strCache>
            </c:strRef>
          </c:cat>
          <c:val>
            <c:numRef>
              <c:f>SummaryStats!$H$272:$H$278</c:f>
              <c:numCache>
                <c:formatCode>0.0%</c:formatCode>
                <c:ptCount val="7"/>
                <c:pt idx="0">
                  <c:v>0.50181902204298212</c:v>
                </c:pt>
                <c:pt idx="1">
                  <c:v>0.14854992016992968</c:v>
                </c:pt>
                <c:pt idx="2">
                  <c:v>0.20986528387460088</c:v>
                </c:pt>
                <c:pt idx="3">
                  <c:v>3.933778196344187E-2</c:v>
                </c:pt>
                <c:pt idx="4">
                  <c:v>6.8969159019143184E-3</c:v>
                </c:pt>
                <c:pt idx="5">
                  <c:v>1.976005182485609E-2</c:v>
                </c:pt>
                <c:pt idx="6">
                  <c:v>7.3771024222276133E-2</c:v>
                </c:pt>
              </c:numCache>
            </c:numRef>
          </c:val>
        </c:ser>
        <c:firstSliceAng val="0"/>
        <c:holeSize val="44"/>
      </c:doughnutChart>
    </c:plotArea>
    <c:legend>
      <c:legendPos val="r"/>
      <c:layout>
        <c:manualLayout>
          <c:xMode val="edge"/>
          <c:yMode val="edge"/>
          <c:x val="0.54118857764200279"/>
          <c:y val="5.5871078291379356E-2"/>
          <c:w val="0.41219903691813714"/>
          <c:h val="0.94412888044166898"/>
        </c:manualLayout>
      </c:layout>
      <c:txPr>
        <a:bodyPr/>
        <a:lstStyle/>
        <a:p>
          <a:pPr rtl="0">
            <a:defRPr sz="80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zero"/>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bar"/>
        <c:grouping val="clustered"/>
        <c:ser>
          <c:idx val="0"/>
          <c:order val="0"/>
          <c:dLbls>
            <c:numFmt formatCode="#,##0.00" sourceLinked="0"/>
            <c:spPr>
              <a:noFill/>
              <a:ln>
                <a:noFill/>
              </a:ln>
              <a:effectLst/>
            </c:spPr>
            <c:showVal val="1"/>
            <c:extLst>
              <c:ext xmlns:c15="http://schemas.microsoft.com/office/drawing/2012/chart" uri="{CE6537A1-D6FC-4f65-9D91-7224C49458BB}">
                <c15:showLeaderLines val="0"/>
              </c:ext>
            </c:extLst>
          </c:dLbls>
          <c:val>
            <c:numRef>
              <c:f>'DataSet excl FTE'!$O$2385:$O$2394</c:f>
              <c:numCache>
                <c:formatCode>General</c:formatCode>
                <c:ptCount val="10"/>
                <c:pt idx="0">
                  <c:v>17.190003397636758</c:v>
                </c:pt>
                <c:pt idx="1">
                  <c:v>17.82182682846835</c:v>
                </c:pt>
                <c:pt idx="2">
                  <c:v>18.487723662039595</c:v>
                </c:pt>
                <c:pt idx="3">
                  <c:v>18.621575074369812</c:v>
                </c:pt>
                <c:pt idx="4">
                  <c:v>19.087632221318103</c:v>
                </c:pt>
                <c:pt idx="5">
                  <c:v>19.908809478310719</c:v>
                </c:pt>
                <c:pt idx="6">
                  <c:v>21.000299861314129</c:v>
                </c:pt>
                <c:pt idx="7">
                  <c:v>19.832475544497093</c:v>
                </c:pt>
                <c:pt idx="8">
                  <c:v>20.017503156027161</c:v>
                </c:pt>
                <c:pt idx="9">
                  <c:v>17.704796327048932</c:v>
                </c:pt>
              </c:numCache>
            </c:numRef>
          </c:val>
        </c:ser>
        <c:axId val="328545408"/>
        <c:axId val="328547328"/>
      </c:barChart>
      <c:catAx>
        <c:axId val="328545408"/>
        <c:scaling>
          <c:orientation val="minMax"/>
        </c:scaling>
        <c:axPos val="l"/>
        <c:title>
          <c:tx>
            <c:rich>
              <a:bodyPr rot="-5400000" vert="horz"/>
              <a:lstStyle/>
              <a:p>
                <a:pPr>
                  <a:defRPr/>
                </a:pPr>
                <a:r>
                  <a:rPr lang="en-NZ"/>
                  <a:t>School Decile</a:t>
                </a:r>
              </a:p>
            </c:rich>
          </c:tx>
        </c:title>
        <c:tickLblPos val="nextTo"/>
        <c:crossAx val="328547328"/>
        <c:crosses val="autoZero"/>
        <c:auto val="1"/>
        <c:lblAlgn val="ctr"/>
        <c:lblOffset val="100"/>
      </c:catAx>
      <c:valAx>
        <c:axId val="328547328"/>
        <c:scaling>
          <c:orientation val="minMax"/>
        </c:scaling>
        <c:axPos val="b"/>
        <c:title>
          <c:tx>
            <c:rich>
              <a:bodyPr/>
              <a:lstStyle/>
              <a:p>
                <a:pPr>
                  <a:defRPr/>
                </a:pPr>
                <a:r>
                  <a:rPr lang="en-NZ"/>
                  <a:t>Permanent and fixed term teachers per Relieving Teacher</a:t>
                </a:r>
              </a:p>
            </c:rich>
          </c:tx>
        </c:title>
        <c:numFmt formatCode="General" sourceLinked="1"/>
        <c:tickLblPos val="nextTo"/>
        <c:crossAx val="328545408"/>
        <c:crosses val="autoZero"/>
        <c:crossBetween val="between"/>
      </c:valAx>
    </c:plotArea>
    <c:plotVisOnly val="1"/>
    <c:dispBlanksAs val="gap"/>
  </c:chart>
  <c:spPr>
    <a:ln>
      <a:noFill/>
    </a:ln>
  </c:spPr>
  <c:txPr>
    <a:bodyPr/>
    <a:lstStyle/>
    <a:p>
      <a:pPr>
        <a:defRPr sz="800"/>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NZ"/>
  <c:chart>
    <c:plotArea>
      <c:layout/>
      <c:barChart>
        <c:barDir val="bar"/>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'DataSet excl'!$AL$2584:$AL$2587</c:f>
              <c:strCache>
                <c:ptCount val="4"/>
                <c:pt idx="0">
                  <c:v>Primary</c:v>
                </c:pt>
                <c:pt idx="1">
                  <c:v>Intermediate</c:v>
                </c:pt>
                <c:pt idx="2">
                  <c:v>Secondary</c:v>
                </c:pt>
                <c:pt idx="3">
                  <c:v>Composite</c:v>
                </c:pt>
              </c:strCache>
            </c:strRef>
          </c:cat>
          <c:val>
            <c:numRef>
              <c:f>'DataSet excl'!$AM$2584:$AM$2587</c:f>
              <c:numCache>
                <c:formatCode>0%</c:formatCode>
                <c:ptCount val="4"/>
                <c:pt idx="0">
                  <c:v>0.3234159779614339</c:v>
                </c:pt>
                <c:pt idx="1">
                  <c:v>8.6956521739130543E-2</c:v>
                </c:pt>
                <c:pt idx="2">
                  <c:v>3.0959752321981426E-3</c:v>
                </c:pt>
                <c:pt idx="3">
                  <c:v>4.8780487804878252E-2</c:v>
                </c:pt>
              </c:numCache>
            </c:numRef>
          </c:val>
        </c:ser>
        <c:axId val="328571904"/>
        <c:axId val="328581888"/>
      </c:barChart>
      <c:catAx>
        <c:axId val="328571904"/>
        <c:scaling>
          <c:orientation val="minMax"/>
        </c:scaling>
        <c:axPos val="l"/>
        <c:numFmt formatCode="General" sourceLinked="0"/>
        <c:majorTickMark val="none"/>
        <c:tickLblPos val="nextTo"/>
        <c:crossAx val="328581888"/>
        <c:crosses val="autoZero"/>
        <c:auto val="1"/>
        <c:lblAlgn val="ctr"/>
        <c:lblOffset val="100"/>
      </c:catAx>
      <c:valAx>
        <c:axId val="328581888"/>
        <c:scaling>
          <c:orientation val="minMax"/>
        </c:scaling>
        <c:axPos val="b"/>
        <c:numFmt formatCode="0%" sourceLinked="1"/>
        <c:majorTickMark val="none"/>
        <c:tickLblPos val="nextTo"/>
        <c:crossAx val="328571904"/>
        <c:crosses val="autoZero"/>
        <c:crossBetween val="between"/>
        <c:majorUnit val="0.1"/>
      </c:valAx>
    </c:plotArea>
    <c:plotVisOnly val="1"/>
    <c:dispBlanksAs val="gap"/>
  </c:chart>
  <c:spPr>
    <a:ln>
      <a:noFill/>
    </a:ln>
  </c:spPr>
  <c:txPr>
    <a:bodyPr/>
    <a:lstStyle/>
    <a:p>
      <a:pPr>
        <a:defRPr sz="800"/>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NZ"/>
  <c:chart>
    <c:plotArea>
      <c:layout/>
      <c:pieChart>
        <c:varyColors val="1"/>
        <c:ser>
          <c:idx val="0"/>
          <c:order val="0"/>
          <c:dLbls>
            <c:dLbl>
              <c:idx val="3"/>
              <c:spPr/>
              <c:txPr>
                <a:bodyPr/>
                <a:lstStyle/>
                <a:p>
                  <a:pPr>
                    <a:defRPr>
                      <a:solidFill>
                        <a:schemeClr val="bg1"/>
                      </a:solidFill>
                    </a:defRPr>
                  </a:pPr>
                  <a:endParaRPr lang="en-US"/>
                </a:p>
              </c:txPr>
              <c:showVal val="1"/>
              <c:showCatName val="1"/>
              <c:extLst>
                <c:ext xmlns:c15="http://schemas.microsoft.com/office/drawing/2012/chart" uri="{CE6537A1-D6FC-4f65-9D91-7224C49458BB}"/>
              </c:extLst>
            </c:dLbl>
            <c:spPr>
              <a:noFill/>
              <a:ln>
                <a:noFill/>
              </a:ln>
              <a:effectLst/>
            </c:spPr>
            <c:showVal val="1"/>
            <c:showCatName val="1"/>
            <c:separator>
</c:separator>
            <c:showLeaderLines val="1"/>
            <c:extLst>
              <c:ext xmlns:c15="http://schemas.microsoft.com/office/drawing/2012/chart" uri="{CE6537A1-D6FC-4f65-9D91-7224C49458BB}"/>
            </c:extLst>
          </c:dLbls>
          <c:cat>
            <c:strRef>
              <c:f>'Data Output'!$AF$2073:$AF$2081</c:f>
              <c:strCache>
                <c:ptCount val="9"/>
                <c:pt idx="0">
                  <c:v>up to 50</c:v>
                </c:pt>
                <c:pt idx="1">
                  <c:v>51 - 80</c:v>
                </c:pt>
                <c:pt idx="2">
                  <c:v>81 - 120</c:v>
                </c:pt>
                <c:pt idx="3">
                  <c:v>121 - 160</c:v>
                </c:pt>
                <c:pt idx="4">
                  <c:v>161 - 200</c:v>
                </c:pt>
                <c:pt idx="5">
                  <c:v>201 - 300</c:v>
                </c:pt>
                <c:pt idx="6">
                  <c:v>301 - 500</c:v>
                </c:pt>
                <c:pt idx="7">
                  <c:v>501 - 750</c:v>
                </c:pt>
                <c:pt idx="8">
                  <c:v>over 750</c:v>
                </c:pt>
              </c:strCache>
            </c:strRef>
          </c:cat>
          <c:val>
            <c:numRef>
              <c:f>'Data Output'!$AG$2073:$AG$2081</c:f>
              <c:numCache>
                <c:formatCode>General</c:formatCode>
                <c:ptCount val="9"/>
                <c:pt idx="0">
                  <c:v>137</c:v>
                </c:pt>
                <c:pt idx="1">
                  <c:v>41</c:v>
                </c:pt>
                <c:pt idx="2">
                  <c:v>46</c:v>
                </c:pt>
                <c:pt idx="3">
                  <c:v>51</c:v>
                </c:pt>
                <c:pt idx="4">
                  <c:v>27</c:v>
                </c:pt>
                <c:pt idx="5">
                  <c:v>42</c:v>
                </c:pt>
                <c:pt idx="6">
                  <c:v>44</c:v>
                </c:pt>
                <c:pt idx="7">
                  <c:v>20</c:v>
                </c:pt>
                <c:pt idx="8">
                  <c:v>3</c:v>
                </c:pt>
              </c:numCache>
            </c:numRef>
          </c:val>
        </c:ser>
        <c:firstSliceAng val="0"/>
      </c:pieChart>
    </c:plotArea>
    <c:plotVisOnly val="1"/>
    <c:dispBlanksAs val="zero"/>
  </c:chart>
  <c:spPr>
    <a:ln>
      <a:noFill/>
    </a:ln>
  </c:spPr>
  <c:txPr>
    <a:bodyPr/>
    <a:lstStyle/>
    <a:p>
      <a:pPr>
        <a:defRPr sz="800"/>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8.8172195688653726E-2"/>
          <c:y val="8.1895986933175235E-2"/>
          <c:w val="0.88499214651623559"/>
          <c:h val="0.49960226814651582"/>
        </c:manualLayout>
      </c:layout>
      <c:barChart>
        <c:barDir val="col"/>
        <c:grouping val="clustered"/>
        <c:ser>
          <c:idx val="0"/>
          <c:order val="0"/>
          <c:tx>
            <c:v>Average allocation of respondents</c:v>
          </c:tx>
          <c:spPr>
            <a:solidFill>
              <a:schemeClr val="accent1"/>
            </a:solidFill>
            <a:ln w="19050">
              <a:noFill/>
            </a:ln>
            <a:effectLst/>
          </c:spPr>
          <c:cat>
            <c:strRef>
              <c:f>'Allocation data - All Schools'!$J$39:$V$39</c:f>
              <c:strCache>
                <c:ptCount val="13"/>
                <c:pt idx="0">
                  <c:v>Y1</c:v>
                </c:pt>
                <c:pt idx="1">
                  <c:v>Y2</c:v>
                </c:pt>
                <c:pt idx="2">
                  <c:v>Y3</c:v>
                </c:pt>
                <c:pt idx="3">
                  <c:v>Y4</c:v>
                </c:pt>
                <c:pt idx="4">
                  <c:v>Y5</c:v>
                </c:pt>
                <c:pt idx="5">
                  <c:v>Y6</c:v>
                </c:pt>
                <c:pt idx="6">
                  <c:v>Y7</c:v>
                </c:pt>
                <c:pt idx="7">
                  <c:v>Y8</c:v>
                </c:pt>
                <c:pt idx="8">
                  <c:v>Y9</c:v>
                </c:pt>
                <c:pt idx="9">
                  <c:v>Y10</c:v>
                </c:pt>
                <c:pt idx="10">
                  <c:v>Y11</c:v>
                </c:pt>
                <c:pt idx="11">
                  <c:v>Y12</c:v>
                </c:pt>
                <c:pt idx="12">
                  <c:v>Y13+</c:v>
                </c:pt>
              </c:strCache>
            </c:strRef>
          </c:cat>
          <c:val>
            <c:numRef>
              <c:f>'Allocation data - All Schools'!$J$35:$V$35</c:f>
              <c:numCache>
                <c:formatCode>General</c:formatCode>
                <c:ptCount val="13"/>
                <c:pt idx="0">
                  <c:v>2.0591795986557986</c:v>
                </c:pt>
                <c:pt idx="1">
                  <c:v>1.0320090147844476</c:v>
                </c:pt>
                <c:pt idx="2">
                  <c:v>0.82873157604167935</c:v>
                </c:pt>
                <c:pt idx="3">
                  <c:v>0.9227919540143944</c:v>
                </c:pt>
                <c:pt idx="4">
                  <c:v>0.89250895524391849</c:v>
                </c:pt>
                <c:pt idx="5">
                  <c:v>0.88170891924198269</c:v>
                </c:pt>
                <c:pt idx="6">
                  <c:v>0.92964233553614462</c:v>
                </c:pt>
                <c:pt idx="7">
                  <c:v>0.83989658437899861</c:v>
                </c:pt>
                <c:pt idx="8">
                  <c:v>0.91382130250172044</c:v>
                </c:pt>
                <c:pt idx="9">
                  <c:v>0.87507174672513588</c:v>
                </c:pt>
                <c:pt idx="10">
                  <c:v>1.1048683361453149</c:v>
                </c:pt>
                <c:pt idx="11">
                  <c:v>1.3115893413861779</c:v>
                </c:pt>
                <c:pt idx="12">
                  <c:v>1.3442095998718147</c:v>
                </c:pt>
              </c:numCache>
            </c:numRef>
          </c:val>
        </c:ser>
        <c:ser>
          <c:idx val="1"/>
          <c:order val="1"/>
          <c:tx>
            <c:v>Average allocation of funding model</c:v>
          </c:tx>
          <c:spPr>
            <a:solidFill>
              <a:schemeClr val="accent4"/>
            </a:solidFill>
            <a:ln w="19050">
              <a:noFill/>
              <a:prstDash val="solid"/>
            </a:ln>
            <a:effectLst/>
          </c:spPr>
          <c:val>
            <c:numRef>
              <c:f>'Allocation data - All Schools'!$X$35:$AJ$35</c:f>
              <c:numCache>
                <c:formatCode>General</c:formatCode>
                <c:ptCount val="13"/>
                <c:pt idx="0">
                  <c:v>1.4989299109795478</c:v>
                </c:pt>
                <c:pt idx="1">
                  <c:v>1.0015847676975718</c:v>
                </c:pt>
                <c:pt idx="2">
                  <c:v>1.0072930408550598</c:v>
                </c:pt>
                <c:pt idx="3">
                  <c:v>0.80803833555747662</c:v>
                </c:pt>
                <c:pt idx="4">
                  <c:v>0.80842250106049951</c:v>
                </c:pt>
                <c:pt idx="5">
                  <c:v>0.79540728154282758</c:v>
                </c:pt>
                <c:pt idx="6">
                  <c:v>0.83496512455401373</c:v>
                </c:pt>
                <c:pt idx="7">
                  <c:v>0.85074170590611364</c:v>
                </c:pt>
                <c:pt idx="8">
                  <c:v>0.93240156623108161</c:v>
                </c:pt>
                <c:pt idx="9">
                  <c:v>0.89648704880526675</c:v>
                </c:pt>
                <c:pt idx="10">
                  <c:v>0.91341494905901488</c:v>
                </c:pt>
                <c:pt idx="11">
                  <c:v>1.2003037864851138</c:v>
                </c:pt>
                <c:pt idx="12">
                  <c:v>1.2341538552690599</c:v>
                </c:pt>
              </c:numCache>
            </c:numRef>
          </c:val>
        </c:ser>
        <c:axId val="328505600"/>
        <c:axId val="328528256"/>
      </c:barChart>
      <c:catAx>
        <c:axId val="328505600"/>
        <c:scaling>
          <c:orientation val="minMax"/>
        </c:scaling>
        <c:axPos val="b"/>
        <c:title>
          <c:tx>
            <c:rich>
              <a:bodyPr rot="0" vert="horz"/>
              <a:lstStyle/>
              <a:p>
                <a:pPr>
                  <a:defRPr/>
                </a:pPr>
                <a:r>
                  <a:rPr lang="en-NZ"/>
                  <a:t>Teaching Year</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28528256"/>
        <c:crosses val="autoZero"/>
        <c:auto val="1"/>
        <c:lblAlgn val="ctr"/>
        <c:lblOffset val="100"/>
      </c:catAx>
      <c:valAx>
        <c:axId val="328528256"/>
        <c:scaling>
          <c:orientation val="minMax"/>
        </c:scaling>
        <c:axPos val="l"/>
        <c:numFmt formatCode="#,##0.0" sourceLinked="0"/>
        <c:majorTickMark val="none"/>
        <c:tickLblPos val="nextTo"/>
        <c:spPr>
          <a:noFill/>
          <a:ln>
            <a:noFill/>
          </a:ln>
          <a:effectLst/>
        </c:spPr>
        <c:txPr>
          <a:bodyPr rot="-60000000" vert="horz"/>
          <a:lstStyle/>
          <a:p>
            <a:pPr>
              <a:defRPr/>
            </a:pPr>
            <a:endParaRPr lang="en-US"/>
          </a:p>
        </c:txPr>
        <c:crossAx val="328505600"/>
        <c:crosses val="autoZero"/>
        <c:crossBetween val="between"/>
      </c:valAx>
      <c:spPr>
        <a:noFill/>
        <a:ln>
          <a:noFill/>
        </a:ln>
        <a:effectLst/>
      </c:spPr>
    </c:plotArea>
    <c:legend>
      <c:legendPos val="b"/>
      <c:layout>
        <c:manualLayout>
          <c:xMode val="edge"/>
          <c:yMode val="edge"/>
          <c:x val="9.0163934426229511E-2"/>
          <c:y val="0.83212594073484025"/>
          <c:w val="0.87593089798201462"/>
          <c:h val="0.13355969782319049"/>
        </c:manualLayout>
      </c:layout>
      <c:spPr>
        <a:noFill/>
        <a:ln>
          <a:noFill/>
        </a:ln>
        <a:effectLst/>
      </c:spPr>
      <c:txPr>
        <a:bodyPr rot="0" vert="horz"/>
        <a:lstStyle/>
        <a:p>
          <a:pPr>
            <a:defRPr/>
          </a:pPr>
          <a:endParaRPr lang="en-US"/>
        </a:p>
      </c:txPr>
    </c:legend>
    <c:plotVisOnly val="1"/>
    <c:dispBlanksAs val="gap"/>
  </c:chart>
  <c:spPr>
    <a:solidFill>
      <a:schemeClr val="bg1"/>
    </a:solidFill>
    <a:ln w="9525" cap="flat" cmpd="sng" algn="ctr">
      <a:noFill/>
      <a:round/>
    </a:ln>
    <a:effectLst/>
  </c:spPr>
  <c:txPr>
    <a:bodyPr/>
    <a:lstStyle/>
    <a:p>
      <a:pPr>
        <a:defRPr sz="90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en-NZ"/>
  <c:chart>
    <c:autoTitleDeleted val="1"/>
    <c:plotArea>
      <c:layout>
        <c:manualLayout>
          <c:layoutTarget val="inner"/>
          <c:xMode val="edge"/>
          <c:yMode val="edge"/>
          <c:x val="0.13919669908624901"/>
          <c:y val="6.4991469816273142E-2"/>
          <c:w val="0.83396775243325461"/>
          <c:h val="0.5635495406824147"/>
        </c:manualLayout>
      </c:layout>
      <c:barChart>
        <c:barDir val="col"/>
        <c:grouping val="clustered"/>
        <c:ser>
          <c:idx val="0"/>
          <c:order val="0"/>
          <c:tx>
            <c:v>Average allocation of respondents</c:v>
          </c:tx>
          <c:spPr>
            <a:solidFill>
              <a:schemeClr val="accent1"/>
            </a:solidFill>
            <a:ln w="19050">
              <a:noFill/>
            </a:ln>
            <a:effectLst/>
          </c:spPr>
          <c:cat>
            <c:strRef>
              <c:f>'Allocation data - All Schools'!$J$39:$V$39</c:f>
              <c:strCache>
                <c:ptCount val="13"/>
                <c:pt idx="0">
                  <c:v>Y1</c:v>
                </c:pt>
                <c:pt idx="1">
                  <c:v>Y2</c:v>
                </c:pt>
                <c:pt idx="2">
                  <c:v>Y3</c:v>
                </c:pt>
                <c:pt idx="3">
                  <c:v>Y4</c:v>
                </c:pt>
                <c:pt idx="4">
                  <c:v>Y5</c:v>
                </c:pt>
                <c:pt idx="5">
                  <c:v>Y6</c:v>
                </c:pt>
                <c:pt idx="6">
                  <c:v>Y7</c:v>
                </c:pt>
                <c:pt idx="7">
                  <c:v>Y8</c:v>
                </c:pt>
                <c:pt idx="8">
                  <c:v>Y9</c:v>
                </c:pt>
                <c:pt idx="9">
                  <c:v>Y10</c:v>
                </c:pt>
                <c:pt idx="10">
                  <c:v>Y11</c:v>
                </c:pt>
                <c:pt idx="11">
                  <c:v>Y12</c:v>
                </c:pt>
                <c:pt idx="12">
                  <c:v>Y13+</c:v>
                </c:pt>
              </c:strCache>
            </c:strRef>
          </c:cat>
          <c:val>
            <c:numRef>
              <c:f>'Allocation data - All Schools'!$J$36:$V$36</c:f>
              <c:numCache>
                <c:formatCode>#,###.00;\-#,###.00;"-"</c:formatCode>
                <c:ptCount val="13"/>
                <c:pt idx="0">
                  <c:v>0.23686674929417245</c:v>
                </c:pt>
                <c:pt idx="1">
                  <c:v>0.16306152166248697</c:v>
                </c:pt>
                <c:pt idx="2">
                  <c:v>0.14129317324646354</c:v>
                </c:pt>
                <c:pt idx="3">
                  <c:v>0.14293332717268292</c:v>
                </c:pt>
                <c:pt idx="4">
                  <c:v>0.13176179000847621</c:v>
                </c:pt>
                <c:pt idx="5">
                  <c:v>0.13170943655224596</c:v>
                </c:pt>
                <c:pt idx="6">
                  <c:v>0.28887090594141146</c:v>
                </c:pt>
                <c:pt idx="7">
                  <c:v>0.31175964886691376</c:v>
                </c:pt>
                <c:pt idx="8">
                  <c:v>0.1595478957319614</c:v>
                </c:pt>
                <c:pt idx="9">
                  <c:v>0.15484203358089335</c:v>
                </c:pt>
                <c:pt idx="10">
                  <c:v>0.17776699417931127</c:v>
                </c:pt>
                <c:pt idx="11">
                  <c:v>0.18347441542650741</c:v>
                </c:pt>
                <c:pt idx="12">
                  <c:v>0.16605306363956232</c:v>
                </c:pt>
              </c:numCache>
            </c:numRef>
          </c:val>
        </c:ser>
        <c:ser>
          <c:idx val="1"/>
          <c:order val="1"/>
          <c:tx>
            <c:v>Average allocation of funding model</c:v>
          </c:tx>
          <c:spPr>
            <a:solidFill>
              <a:schemeClr val="accent4"/>
            </a:solidFill>
            <a:ln w="19050">
              <a:noFill/>
              <a:prstDash val="solid"/>
            </a:ln>
            <a:effectLst/>
          </c:spPr>
          <c:val>
            <c:numRef>
              <c:f>'Allocation data - All Schools'!$X$36:$AJ$36</c:f>
              <c:numCache>
                <c:formatCode>#,###.00;\-#,###.00;"-"</c:formatCode>
                <c:ptCount val="13"/>
                <c:pt idx="0">
                  <c:v>0.29223523984653305</c:v>
                </c:pt>
                <c:pt idx="1">
                  <c:v>0.14616821011575878</c:v>
                </c:pt>
                <c:pt idx="2">
                  <c:v>0.16291442587216537</c:v>
                </c:pt>
                <c:pt idx="3">
                  <c:v>0.12306608789934415</c:v>
                </c:pt>
                <c:pt idx="4">
                  <c:v>0.12029662254422745</c:v>
                </c:pt>
                <c:pt idx="5">
                  <c:v>0.11090465474266543</c:v>
                </c:pt>
                <c:pt idx="6">
                  <c:v>0.28651643372451435</c:v>
                </c:pt>
                <c:pt idx="7">
                  <c:v>0.3041514477138475</c:v>
                </c:pt>
                <c:pt idx="8">
                  <c:v>0.15574637175722922</c:v>
                </c:pt>
                <c:pt idx="9">
                  <c:v>0.15480477315807073</c:v>
                </c:pt>
                <c:pt idx="10">
                  <c:v>0.16053218560151183</c:v>
                </c:pt>
                <c:pt idx="11">
                  <c:v>0.1937612169270419</c:v>
                </c:pt>
                <c:pt idx="12">
                  <c:v>0.18459636884464103</c:v>
                </c:pt>
              </c:numCache>
            </c:numRef>
          </c:val>
        </c:ser>
        <c:axId val="328610176"/>
        <c:axId val="328612096"/>
      </c:barChart>
      <c:catAx>
        <c:axId val="328610176"/>
        <c:scaling>
          <c:orientation val="minMax"/>
        </c:scaling>
        <c:axPos val="b"/>
        <c:title>
          <c:tx>
            <c:rich>
              <a:bodyPr rot="0" vert="horz"/>
              <a:lstStyle/>
              <a:p>
                <a:pPr>
                  <a:defRPr/>
                </a:pPr>
                <a:r>
                  <a:rPr lang="en-NZ"/>
                  <a:t>Teaching Year</a:t>
                </a:r>
              </a:p>
            </c:rich>
          </c:tx>
          <c:layout>
            <c:manualLayout>
              <c:xMode val="edge"/>
              <c:yMode val="edge"/>
              <c:x val="0.39575149443962282"/>
              <c:y val="0.7332631233595813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28612096"/>
        <c:crosses val="autoZero"/>
        <c:auto val="1"/>
        <c:lblAlgn val="ctr"/>
        <c:lblOffset val="100"/>
      </c:catAx>
      <c:valAx>
        <c:axId val="328612096"/>
        <c:scaling>
          <c:orientation val="minMax"/>
        </c:scaling>
        <c:axPos val="l"/>
        <c:title>
          <c:tx>
            <c:rich>
              <a:bodyPr rot="-5400000" vert="horz"/>
              <a:lstStyle/>
              <a:p>
                <a:pPr>
                  <a:defRPr/>
                </a:pPr>
                <a:r>
                  <a:rPr lang="en-NZ"/>
                  <a:t>Percentage Allocation</a:t>
                </a:r>
              </a:p>
            </c:rich>
          </c:tx>
          <c:spPr>
            <a:noFill/>
            <a:ln>
              <a:noFill/>
            </a:ln>
            <a:effectLst/>
          </c:spPr>
        </c:title>
        <c:numFmt formatCode="#,###.00;\-#,###.00;&quot;-&quot;" sourceLinked="1"/>
        <c:majorTickMark val="none"/>
        <c:tickLblPos val="nextTo"/>
        <c:spPr>
          <a:noFill/>
          <a:ln>
            <a:noFill/>
          </a:ln>
          <a:effectLst/>
        </c:spPr>
        <c:txPr>
          <a:bodyPr rot="-60000000" vert="horz"/>
          <a:lstStyle/>
          <a:p>
            <a:pPr>
              <a:defRPr/>
            </a:pPr>
            <a:endParaRPr lang="en-US"/>
          </a:p>
        </c:txPr>
        <c:crossAx val="328610176"/>
        <c:crosses val="autoZero"/>
        <c:crossBetween val="between"/>
      </c:valAx>
      <c:spPr>
        <a:noFill/>
        <a:ln>
          <a:noFill/>
        </a:ln>
        <a:effectLst/>
      </c:spPr>
    </c:plotArea>
    <c:legend>
      <c:legendPos val="b"/>
      <c:layout>
        <c:manualLayout>
          <c:xMode val="edge"/>
          <c:yMode val="edge"/>
          <c:x val="0.12202251946000808"/>
          <c:y val="0.82236004235266047"/>
          <c:w val="0.75407591771818328"/>
          <c:h val="0.14839077610644041"/>
        </c:manualLayout>
      </c:layout>
      <c:spPr>
        <a:noFill/>
        <a:ln>
          <a:noFill/>
        </a:ln>
        <a:effectLst/>
      </c:spPr>
      <c:txPr>
        <a:bodyPr rot="0" vert="horz"/>
        <a:lstStyle/>
        <a:p>
          <a:pPr>
            <a:defRPr/>
          </a:pPr>
          <a:endParaRPr lang="en-US"/>
        </a:p>
      </c:txPr>
    </c:legend>
    <c:plotVisOnly val="1"/>
    <c:dispBlanksAs val="gap"/>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en-NZ"/>
  <c:chart>
    <c:autoTitleDeleted val="1"/>
    <c:plotArea>
      <c:layout/>
      <c:barChart>
        <c:barDir val="col"/>
        <c:grouping val="clustered"/>
        <c:ser>
          <c:idx val="0"/>
          <c:order val="0"/>
          <c:tx>
            <c:strRef>
              <c:f>'Class Size Analysis'!$A$7</c:f>
              <c:strCache>
                <c:ptCount val="1"/>
                <c:pt idx="0">
                  <c:v>Average Class Size</c:v>
                </c:pt>
              </c:strCache>
            </c:strRef>
          </c:tx>
          <c:spPr>
            <a:solidFill>
              <a:schemeClr val="accent1"/>
            </a:solidFill>
            <a:ln>
              <a:noFill/>
            </a:ln>
            <a:effectLst/>
          </c:spPr>
          <c:dLbls>
            <c:dLbl>
              <c:idx val="0"/>
              <c:layout>
                <c:manualLayout>
                  <c:x val="-3.673094582185506E-3"/>
                  <c:y val="-1.3099608450583019E-2"/>
                </c:manualLayout>
              </c:layout>
              <c:showVal val="1"/>
              <c:extLst>
                <c:ext xmlns:c15="http://schemas.microsoft.com/office/drawing/2012/chart" uri="{CE6537A1-D6FC-4f65-9D91-7224C49458BB}"/>
              </c:extLst>
            </c:dLbl>
            <c:dLbl>
              <c:idx val="1"/>
              <c:layout>
                <c:manualLayout>
                  <c:x val="-2.7776693202605919E-3"/>
                  <c:y val="-6.4055763521363414E-3"/>
                </c:manualLayout>
              </c:layout>
              <c:showVal val="1"/>
              <c:extLst>
                <c:ext xmlns:c15="http://schemas.microsoft.com/office/drawing/2012/chart" uri="{CE6537A1-D6FC-4f65-9D91-7224C49458BB}"/>
              </c:extLst>
            </c:dLbl>
            <c:dLbl>
              <c:idx val="2"/>
              <c:layout>
                <c:manualLayout>
                  <c:x val="1.423251845585418E-3"/>
                  <c:y val="-1.2067294866830211E-2"/>
                </c:manualLayout>
              </c:layout>
              <c:showVal val="1"/>
              <c:extLst>
                <c:ext xmlns:c15="http://schemas.microsoft.com/office/drawing/2012/chart" uri="{CE6537A1-D6FC-4f65-9D91-7224C49458BB}"/>
              </c:extLst>
            </c:dLbl>
            <c:dLbl>
              <c:idx val="3"/>
              <c:layout>
                <c:manualLayout>
                  <c:x val="-8.6089238845144106E-3"/>
                  <c:y val="-8.7280237511294639E-3"/>
                </c:manualLayout>
              </c:layout>
              <c:showVal val="1"/>
              <c:extLst>
                <c:ext xmlns:c15="http://schemas.microsoft.com/office/drawing/2012/chart" uri="{CE6537A1-D6FC-4f65-9D91-7224C49458BB}"/>
              </c:extLst>
            </c:dLbl>
            <c:dLbl>
              <c:idx val="4"/>
              <c:layout>
                <c:manualLayout>
                  <c:x val="-1.354417474675176E-3"/>
                  <c:y val="-1.3099608450583019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Val val="1"/>
            <c:extLst>
              <c:ext xmlns:c15="http://schemas.microsoft.com/office/drawing/2012/chart" uri="{CE6537A1-D6FC-4f65-9D91-7224C49458BB}">
                <c15:showLeaderLines val="0"/>
              </c:ext>
            </c:extLst>
          </c:dLbls>
          <c:cat>
            <c:strRef>
              <c:f>'Class Size Analysis'!$B$2:$F$2</c:f>
              <c:strCache>
                <c:ptCount val="5"/>
                <c:pt idx="0">
                  <c:v>Y9</c:v>
                </c:pt>
                <c:pt idx="1">
                  <c:v>Y10</c:v>
                </c:pt>
                <c:pt idx="2">
                  <c:v>Y11</c:v>
                </c:pt>
                <c:pt idx="3">
                  <c:v>Y12</c:v>
                </c:pt>
                <c:pt idx="4">
                  <c:v>Y13</c:v>
                </c:pt>
              </c:strCache>
            </c:strRef>
          </c:cat>
          <c:val>
            <c:numRef>
              <c:f>'Class Size Analysis'!$B$7:$F$7</c:f>
              <c:numCache>
                <c:formatCode>0.0</c:formatCode>
                <c:ptCount val="5"/>
                <c:pt idx="0">
                  <c:v>26.591118356056135</c:v>
                </c:pt>
                <c:pt idx="1">
                  <c:v>26.435010224948876</c:v>
                </c:pt>
                <c:pt idx="2">
                  <c:v>24.345505617977526</c:v>
                </c:pt>
                <c:pt idx="3">
                  <c:v>21.676491365777085</c:v>
                </c:pt>
                <c:pt idx="4">
                  <c:v>22.422895473979029</c:v>
                </c:pt>
              </c:numCache>
            </c:numRef>
          </c:val>
        </c:ser>
        <c:gapWidth val="200"/>
        <c:axId val="328648960"/>
        <c:axId val="346693632"/>
      </c:barChart>
      <c:catAx>
        <c:axId val="328648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346693632"/>
        <c:crosses val="autoZero"/>
        <c:auto val="1"/>
        <c:lblAlgn val="ctr"/>
        <c:lblOffset val="100"/>
      </c:catAx>
      <c:valAx>
        <c:axId val="346693632"/>
        <c:scaling>
          <c:orientation val="minMax"/>
          <c:min val="14"/>
        </c:scaling>
        <c:delete val="1"/>
        <c:axPos val="l"/>
        <c:numFmt formatCode="0.0" sourceLinked="1"/>
        <c:majorTickMark val="none"/>
        <c:tickLblPos val="none"/>
        <c:crossAx val="3286489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barChart>
        <c:barDir val="col"/>
        <c:grouping val="percentStacked"/>
        <c:ser>
          <c:idx val="0"/>
          <c:order val="0"/>
          <c:tx>
            <c:strRef>
              <c:f>'2017 Class Sizes'!$B$69</c:f>
              <c:strCache>
                <c:ptCount val="1"/>
                <c:pt idx="0">
                  <c:v>Up to 15</c:v>
                </c:pt>
              </c:strCache>
            </c:strRef>
          </c:tx>
          <c:spPr>
            <a:solidFill>
              <a:schemeClr val="accent1"/>
            </a:solidFill>
            <a:ln>
              <a:noFill/>
            </a:ln>
            <a:effectLst/>
          </c:spPr>
          <c:cat>
            <c:strRef>
              <c:f>'2017 Class Sizes'!$C$68:$G$68</c:f>
              <c:strCache>
                <c:ptCount val="5"/>
                <c:pt idx="0">
                  <c:v>Y9</c:v>
                </c:pt>
                <c:pt idx="1">
                  <c:v>Y10</c:v>
                </c:pt>
                <c:pt idx="2">
                  <c:v>Y11</c:v>
                </c:pt>
                <c:pt idx="3">
                  <c:v>Y12</c:v>
                </c:pt>
                <c:pt idx="4">
                  <c:v>Y13</c:v>
                </c:pt>
              </c:strCache>
            </c:strRef>
          </c:cat>
          <c:val>
            <c:numRef>
              <c:f>'2017 Class Sizes'!$C$69:$G$69</c:f>
              <c:numCache>
                <c:formatCode>0</c:formatCode>
                <c:ptCount val="5"/>
                <c:pt idx="0">
                  <c:v>2</c:v>
                </c:pt>
                <c:pt idx="1">
                  <c:v>2</c:v>
                </c:pt>
                <c:pt idx="2">
                  <c:v>10</c:v>
                </c:pt>
                <c:pt idx="3">
                  <c:v>31</c:v>
                </c:pt>
                <c:pt idx="4">
                  <c:v>23</c:v>
                </c:pt>
              </c:numCache>
            </c:numRef>
          </c:val>
        </c:ser>
        <c:ser>
          <c:idx val="1"/>
          <c:order val="1"/>
          <c:tx>
            <c:strRef>
              <c:f>'2017 Class Sizes'!$B$70</c:f>
              <c:strCache>
                <c:ptCount val="1"/>
                <c:pt idx="0">
                  <c:v>16 - 20</c:v>
                </c:pt>
              </c:strCache>
            </c:strRef>
          </c:tx>
          <c:spPr>
            <a:solidFill>
              <a:schemeClr val="accent3"/>
            </a:solidFill>
            <a:ln>
              <a:noFill/>
            </a:ln>
            <a:effectLst/>
          </c:spPr>
          <c:cat>
            <c:strRef>
              <c:f>'2017 Class Sizes'!$C$68:$G$68</c:f>
              <c:strCache>
                <c:ptCount val="5"/>
                <c:pt idx="0">
                  <c:v>Y9</c:v>
                </c:pt>
                <c:pt idx="1">
                  <c:v>Y10</c:v>
                </c:pt>
                <c:pt idx="2">
                  <c:v>Y11</c:v>
                </c:pt>
                <c:pt idx="3">
                  <c:v>Y12</c:v>
                </c:pt>
                <c:pt idx="4">
                  <c:v>Y13</c:v>
                </c:pt>
              </c:strCache>
            </c:strRef>
          </c:cat>
          <c:val>
            <c:numRef>
              <c:f>'2017 Class Sizes'!$C$70:$G$70</c:f>
              <c:numCache>
                <c:formatCode>0</c:formatCode>
                <c:ptCount val="5"/>
                <c:pt idx="0">
                  <c:v>0</c:v>
                </c:pt>
                <c:pt idx="1">
                  <c:v>8</c:v>
                </c:pt>
                <c:pt idx="2">
                  <c:v>15</c:v>
                </c:pt>
                <c:pt idx="3">
                  <c:v>25</c:v>
                </c:pt>
                <c:pt idx="4">
                  <c:v>19</c:v>
                </c:pt>
              </c:numCache>
            </c:numRef>
          </c:val>
        </c:ser>
        <c:ser>
          <c:idx val="2"/>
          <c:order val="2"/>
          <c:tx>
            <c:strRef>
              <c:f>'2017 Class Sizes'!$B$71</c:f>
              <c:strCache>
                <c:ptCount val="1"/>
                <c:pt idx="0">
                  <c:v>21 - 25</c:v>
                </c:pt>
              </c:strCache>
            </c:strRef>
          </c:tx>
          <c:spPr>
            <a:solidFill>
              <a:schemeClr val="accent5"/>
            </a:solidFill>
            <a:ln>
              <a:noFill/>
            </a:ln>
            <a:effectLst/>
          </c:spPr>
          <c:cat>
            <c:strRef>
              <c:f>'2017 Class Sizes'!$C$68:$G$68</c:f>
              <c:strCache>
                <c:ptCount val="5"/>
                <c:pt idx="0">
                  <c:v>Y9</c:v>
                </c:pt>
                <c:pt idx="1">
                  <c:v>Y10</c:v>
                </c:pt>
                <c:pt idx="2">
                  <c:v>Y11</c:v>
                </c:pt>
                <c:pt idx="3">
                  <c:v>Y12</c:v>
                </c:pt>
                <c:pt idx="4">
                  <c:v>Y13</c:v>
                </c:pt>
              </c:strCache>
            </c:strRef>
          </c:cat>
          <c:val>
            <c:numRef>
              <c:f>'2017 Class Sizes'!$C$71:$G$71</c:f>
              <c:numCache>
                <c:formatCode>0</c:formatCode>
                <c:ptCount val="5"/>
                <c:pt idx="0">
                  <c:v>9</c:v>
                </c:pt>
                <c:pt idx="1">
                  <c:v>15</c:v>
                </c:pt>
                <c:pt idx="2">
                  <c:v>15</c:v>
                </c:pt>
                <c:pt idx="3">
                  <c:v>24</c:v>
                </c:pt>
                <c:pt idx="4">
                  <c:v>24</c:v>
                </c:pt>
              </c:numCache>
            </c:numRef>
          </c:val>
        </c:ser>
        <c:ser>
          <c:idx val="3"/>
          <c:order val="3"/>
          <c:tx>
            <c:strRef>
              <c:f>'2017 Class Sizes'!$B$72</c:f>
              <c:strCache>
                <c:ptCount val="1"/>
                <c:pt idx="0">
                  <c:v>26 - 28</c:v>
                </c:pt>
              </c:strCache>
            </c:strRef>
          </c:tx>
          <c:spPr>
            <a:solidFill>
              <a:schemeClr val="accent1">
                <a:lumMod val="60000"/>
              </a:schemeClr>
            </a:solidFill>
            <a:ln>
              <a:noFill/>
            </a:ln>
            <a:effectLst/>
          </c:spPr>
          <c:cat>
            <c:strRef>
              <c:f>'2017 Class Sizes'!$C$68:$G$68</c:f>
              <c:strCache>
                <c:ptCount val="5"/>
                <c:pt idx="0">
                  <c:v>Y9</c:v>
                </c:pt>
                <c:pt idx="1">
                  <c:v>Y10</c:v>
                </c:pt>
                <c:pt idx="2">
                  <c:v>Y11</c:v>
                </c:pt>
                <c:pt idx="3">
                  <c:v>Y12</c:v>
                </c:pt>
                <c:pt idx="4">
                  <c:v>Y13</c:v>
                </c:pt>
              </c:strCache>
            </c:strRef>
          </c:cat>
          <c:val>
            <c:numRef>
              <c:f>'2017 Class Sizes'!$C$72:$G$72</c:f>
              <c:numCache>
                <c:formatCode>0</c:formatCode>
                <c:ptCount val="5"/>
                <c:pt idx="0">
                  <c:v>18</c:v>
                </c:pt>
                <c:pt idx="1">
                  <c:v>13</c:v>
                </c:pt>
                <c:pt idx="2">
                  <c:v>14</c:v>
                </c:pt>
                <c:pt idx="3">
                  <c:v>18</c:v>
                </c:pt>
                <c:pt idx="4">
                  <c:v>8</c:v>
                </c:pt>
              </c:numCache>
            </c:numRef>
          </c:val>
        </c:ser>
        <c:ser>
          <c:idx val="4"/>
          <c:order val="4"/>
          <c:tx>
            <c:strRef>
              <c:f>'2017 Class Sizes'!$B$73</c:f>
              <c:strCache>
                <c:ptCount val="1"/>
                <c:pt idx="0">
                  <c:v>29 +</c:v>
                </c:pt>
              </c:strCache>
            </c:strRef>
          </c:tx>
          <c:spPr>
            <a:solidFill>
              <a:schemeClr val="accent3">
                <a:lumMod val="60000"/>
              </a:schemeClr>
            </a:solidFill>
            <a:ln>
              <a:noFill/>
            </a:ln>
            <a:effectLst/>
          </c:spPr>
          <c:cat>
            <c:strRef>
              <c:f>'2017 Class Sizes'!$C$68:$G$68</c:f>
              <c:strCache>
                <c:ptCount val="5"/>
                <c:pt idx="0">
                  <c:v>Y9</c:v>
                </c:pt>
                <c:pt idx="1">
                  <c:v>Y10</c:v>
                </c:pt>
                <c:pt idx="2">
                  <c:v>Y11</c:v>
                </c:pt>
                <c:pt idx="3">
                  <c:v>Y12</c:v>
                </c:pt>
                <c:pt idx="4">
                  <c:v>Y13</c:v>
                </c:pt>
              </c:strCache>
            </c:strRef>
          </c:cat>
          <c:val>
            <c:numRef>
              <c:f>'2017 Class Sizes'!$C$73:$G$73</c:f>
              <c:numCache>
                <c:formatCode>0</c:formatCode>
                <c:ptCount val="5"/>
                <c:pt idx="0">
                  <c:v>13</c:v>
                </c:pt>
                <c:pt idx="1">
                  <c:v>7</c:v>
                </c:pt>
                <c:pt idx="2">
                  <c:v>11</c:v>
                </c:pt>
                <c:pt idx="3">
                  <c:v>6</c:v>
                </c:pt>
                <c:pt idx="4">
                  <c:v>6</c:v>
                </c:pt>
              </c:numCache>
            </c:numRef>
          </c:val>
        </c:ser>
        <c:overlap val="100"/>
        <c:axId val="346732416"/>
        <c:axId val="346733952"/>
      </c:barChart>
      <c:catAx>
        <c:axId val="346732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346733952"/>
        <c:crosses val="autoZero"/>
        <c:auto val="1"/>
        <c:lblAlgn val="ctr"/>
        <c:lblOffset val="100"/>
      </c:catAx>
      <c:valAx>
        <c:axId val="346733952"/>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346732416"/>
        <c:crosses val="autoZero"/>
        <c:crossBetween val="between"/>
      </c:valAx>
      <c:spPr>
        <a:noFill/>
        <a:ln>
          <a:noFill/>
        </a:ln>
        <a:effectLst/>
      </c:spPr>
    </c:plotArea>
    <c:legend>
      <c:legendPos val="r"/>
      <c:layout>
        <c:manualLayout>
          <c:xMode val="edge"/>
          <c:yMode val="edge"/>
          <c:x val="0.76020404474234049"/>
          <c:y val="0.24878024575286362"/>
          <c:w val="0.18295479731700248"/>
          <c:h val="0.47452240111777194"/>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NZ"/>
  <c:chart>
    <c:title>
      <c:tx>
        <c:rich>
          <a:bodyPr/>
          <a:lstStyle/>
          <a:p>
            <a:pPr>
              <a:defRPr/>
            </a:pPr>
            <a:r>
              <a:rPr lang="en-NZ" sz="900" b="1" i="0" baseline="0">
                <a:effectLst/>
              </a:rPr>
              <a:t>Special Schools - Total Funding $0.10 billion</a:t>
            </a:r>
            <a:endParaRPr lang="en-NZ" sz="900">
              <a:effectLst/>
            </a:endParaRPr>
          </a:p>
        </c:rich>
      </c:tx>
      <c:layout>
        <c:manualLayout>
          <c:xMode val="edge"/>
          <c:yMode val="edge"/>
          <c:x val="4.3922155518897059E-4"/>
          <c:y val="0"/>
        </c:manualLayout>
      </c:layout>
    </c:title>
    <c:plotArea>
      <c:layout>
        <c:manualLayout>
          <c:layoutTarget val="inner"/>
          <c:xMode val="edge"/>
          <c:yMode val="edge"/>
          <c:x val="9.4883193596481008E-2"/>
          <c:y val="0.15140960891903299"/>
          <c:w val="0.37460927535246136"/>
          <c:h val="0.80149766399348077"/>
        </c:manualLayout>
      </c:layout>
      <c:doughnutChart>
        <c:varyColors val="1"/>
        <c:ser>
          <c:idx val="0"/>
          <c:order val="0"/>
          <c:dLbls>
            <c:dLbl>
              <c:idx val="0"/>
              <c:layout>
                <c:manualLayout>
                  <c:x val="3.455723542116635E-2"/>
                  <c:y val="-0.35120147874306845"/>
                </c:manualLayout>
              </c:layout>
              <c:showVal val="1"/>
              <c:extLst>
                <c:ext xmlns:c15="http://schemas.microsoft.com/office/drawing/2012/chart" uri="{CE6537A1-D6FC-4f65-9D91-7224C49458BB}"/>
              </c:extLst>
            </c:dLbl>
            <c:dLbl>
              <c:idx val="1"/>
              <c:layout>
                <c:manualLayout>
                  <c:x val="-3.4557235421166413E-2"/>
                  <c:y val="0.13555144793592136"/>
                </c:manualLayout>
              </c:layout>
              <c:showVal val="1"/>
              <c:extLst>
                <c:ext xmlns:c15="http://schemas.microsoft.com/office/drawing/2012/chart" uri="{CE6537A1-D6FC-4f65-9D91-7224C49458BB}"/>
              </c:extLst>
            </c:dLbl>
            <c:dLbl>
              <c:idx val="2"/>
              <c:layout>
                <c:manualLayout>
                  <c:x val="-8.3513318934485298E-2"/>
                  <c:y val="8.0098582871226245E-2"/>
                </c:manualLayout>
              </c:layout>
              <c:showVal val="1"/>
              <c:extLst>
                <c:ext xmlns:c15="http://schemas.microsoft.com/office/drawing/2012/chart" uri="{CE6537A1-D6FC-4f65-9D91-7224C49458BB}"/>
              </c:extLst>
            </c:dLbl>
            <c:dLbl>
              <c:idx val="3"/>
              <c:layout>
                <c:manualLayout>
                  <c:x val="-7.7753779697624356E-2"/>
                  <c:y val="-9.8582871226124497E-2"/>
                </c:manualLayout>
              </c:layout>
              <c:showVal val="1"/>
              <c:extLst>
                <c:ext xmlns:c15="http://schemas.microsoft.com/office/drawing/2012/chart" uri="{CE6537A1-D6FC-4f65-9D91-7224C49458BB}"/>
              </c:extLst>
            </c:dLbl>
            <c:dLbl>
              <c:idx val="4"/>
              <c:layout>
                <c:manualLayout>
                  <c:x val="-2.3038156947444179E-2"/>
                  <c:y val="-0.16019716574245224"/>
                </c:manualLayout>
              </c:layout>
              <c:showVal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1.1519078473722105E-2"/>
                  <c:y val="-0.16019716574245224"/>
                </c:manualLayout>
              </c:layout>
              <c:showVal val="1"/>
              <c:extLs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sz="800"/>
                </a:pPr>
                <a:endParaRPr lang="en-US"/>
              </a:p>
            </c:txPr>
            <c:showVal val="1"/>
            <c:extLst>
              <c:ext xmlns:c15="http://schemas.microsoft.com/office/drawing/2012/chart" uri="{CE6537A1-D6FC-4f65-9D91-7224C49458BB}"/>
            </c:extLst>
          </c:dLbls>
          <c:cat>
            <c:strRef>
              <c:f>SummaryStats!$B$235:$B$241</c:f>
              <c:strCache>
                <c:ptCount val="7"/>
                <c:pt idx="0">
                  <c:v>Teachers salaries grants</c:v>
                </c:pt>
                <c:pt idx="1">
                  <c:v> Use of land and buildings</c:v>
                </c:pt>
                <c:pt idx="2">
                  <c:v>Operational grants</c:v>
                </c:pt>
                <c:pt idx="3">
                  <c:v>Other govt grants</c:v>
                </c:pt>
                <c:pt idx="4">
                  <c:v>Locally raised funds (excl. international students)</c:v>
                </c:pt>
                <c:pt idx="5">
                  <c:v>International students</c:v>
                </c:pt>
                <c:pt idx="6">
                  <c:v>Other</c:v>
                </c:pt>
              </c:strCache>
            </c:strRef>
          </c:cat>
          <c:val>
            <c:numRef>
              <c:f>SummaryStats!$H$235:$H$241</c:f>
              <c:numCache>
                <c:formatCode>0.0%</c:formatCode>
                <c:ptCount val="7"/>
                <c:pt idx="0">
                  <c:v>0.52162191756330989</c:v>
                </c:pt>
                <c:pt idx="1">
                  <c:v>5.4050903715693717E-2</c:v>
                </c:pt>
                <c:pt idx="2">
                  <c:v>0.19706803669682182</c:v>
                </c:pt>
                <c:pt idx="3">
                  <c:v>0.19890074964282631</c:v>
                </c:pt>
                <c:pt idx="4">
                  <c:v>7.7019193464231582E-3</c:v>
                </c:pt>
                <c:pt idx="5">
                  <c:v>0</c:v>
                </c:pt>
                <c:pt idx="6">
                  <c:v>2.0656473034928867E-2</c:v>
                </c:pt>
              </c:numCache>
            </c:numRef>
          </c:val>
        </c:ser>
        <c:firstSliceAng val="0"/>
        <c:holeSize val="44"/>
      </c:doughnutChart>
    </c:plotArea>
    <c:legend>
      <c:legendPos val="r"/>
      <c:layout>
        <c:manualLayout>
          <c:xMode val="edge"/>
          <c:yMode val="edge"/>
          <c:x val="0.54118857764200279"/>
          <c:y val="5.5871078291379356E-2"/>
          <c:w val="0.41219903691813714"/>
          <c:h val="0.94412888044166898"/>
        </c:manualLayout>
      </c:layout>
      <c:txPr>
        <a:bodyPr/>
        <a:lstStyle/>
        <a:p>
          <a:pPr rtl="0">
            <a:defRPr sz="80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6361109837671706"/>
          <c:y val="0.14093458781362048"/>
          <c:w val="0.79455298570908006"/>
          <c:h val="0.45238440860215118"/>
        </c:manualLayout>
      </c:layout>
      <c:barChart>
        <c:barDir val="col"/>
        <c:grouping val="clustered"/>
        <c:ser>
          <c:idx val="0"/>
          <c:order val="0"/>
          <c:spPr>
            <a:solidFill>
              <a:schemeClr val="accent1"/>
            </a:solidFill>
            <a:ln>
              <a:noFill/>
            </a:ln>
            <a:effectLst/>
          </c:spPr>
          <c:cat>
            <c:strRef>
              <c:f>SummaryStats!$D$226:$L$226</c:f>
              <c:strCache>
                <c:ptCount val="9"/>
                <c:pt idx="0">
                  <c:v>up to $6000</c:v>
                </c:pt>
                <c:pt idx="1">
                  <c:v>$6001-$7000</c:v>
                </c:pt>
                <c:pt idx="2">
                  <c:v>$7001-$8000</c:v>
                </c:pt>
                <c:pt idx="3">
                  <c:v>$8001-$9000</c:v>
                </c:pt>
                <c:pt idx="4">
                  <c:v>$9001-$10000</c:v>
                </c:pt>
                <c:pt idx="5">
                  <c:v>$10001-$11000</c:v>
                </c:pt>
                <c:pt idx="6">
                  <c:v>$11001-$12000</c:v>
                </c:pt>
                <c:pt idx="7">
                  <c:v>$12001-$13000</c:v>
                </c:pt>
                <c:pt idx="8">
                  <c:v>over $13000</c:v>
                </c:pt>
              </c:strCache>
            </c:strRef>
          </c:cat>
          <c:val>
            <c:numRef>
              <c:f>SummaryStats!$D$227:$L$227</c:f>
              <c:numCache>
                <c:formatCode>General</c:formatCode>
                <c:ptCount val="9"/>
                <c:pt idx="0">
                  <c:v>70</c:v>
                </c:pt>
                <c:pt idx="1">
                  <c:v>463</c:v>
                </c:pt>
                <c:pt idx="2">
                  <c:v>522</c:v>
                </c:pt>
                <c:pt idx="3">
                  <c:v>314</c:v>
                </c:pt>
                <c:pt idx="4">
                  <c:v>175</c:v>
                </c:pt>
                <c:pt idx="5">
                  <c:v>136</c:v>
                </c:pt>
                <c:pt idx="6">
                  <c:v>95</c:v>
                </c:pt>
                <c:pt idx="7">
                  <c:v>78</c:v>
                </c:pt>
                <c:pt idx="8">
                  <c:v>282</c:v>
                </c:pt>
              </c:numCache>
            </c:numRef>
          </c:val>
        </c:ser>
        <c:gapWidth val="40"/>
        <c:overlap val="-27"/>
        <c:axId val="266386048"/>
        <c:axId val="266396032"/>
      </c:barChart>
      <c:catAx>
        <c:axId val="266386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6396032"/>
        <c:crosses val="autoZero"/>
        <c:auto val="1"/>
        <c:lblAlgn val="ctr"/>
        <c:lblOffset val="100"/>
      </c:catAx>
      <c:valAx>
        <c:axId val="266396032"/>
        <c:scaling>
          <c:orientation val="minMax"/>
        </c:scaling>
        <c:axPos val="l"/>
        <c:majorGridlines>
          <c:spPr>
            <a:ln w="9525" cap="flat" cmpd="sng" algn="ctr">
              <a:no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6386048"/>
        <c:crosses val="autoZero"/>
        <c:crossBetween val="between"/>
        <c:majorUnit val="100"/>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en-NZ"/>
  <c:chart>
    <c:autoTitleDeleted val="1"/>
    <c:plotArea>
      <c:layout>
        <c:manualLayout>
          <c:layoutTarget val="inner"/>
          <c:xMode val="edge"/>
          <c:yMode val="edge"/>
          <c:x val="0.16361109837671706"/>
          <c:y val="0.14821057347670274"/>
          <c:w val="0.79455298570908006"/>
          <c:h val="0.47615277777777865"/>
        </c:manualLayout>
      </c:layout>
      <c:barChart>
        <c:barDir val="col"/>
        <c:grouping val="clustered"/>
        <c:ser>
          <c:idx val="0"/>
          <c:order val="0"/>
          <c:spPr>
            <a:solidFill>
              <a:schemeClr val="accent1"/>
            </a:solidFill>
            <a:ln>
              <a:noFill/>
            </a:ln>
            <a:effectLst/>
          </c:spPr>
          <c:cat>
            <c:strRef>
              <c:f>SummaryStats!$D$214:$M$214</c:f>
              <c:strCache>
                <c:ptCount val="10"/>
                <c:pt idx="0">
                  <c:v>up to $5500</c:v>
                </c:pt>
                <c:pt idx="1">
                  <c:v>$5501-$6000</c:v>
                </c:pt>
                <c:pt idx="2">
                  <c:v>$6001-$6500</c:v>
                </c:pt>
                <c:pt idx="3">
                  <c:v>$6501-$7000</c:v>
                </c:pt>
                <c:pt idx="4">
                  <c:v>$7001-$7500</c:v>
                </c:pt>
                <c:pt idx="5">
                  <c:v>$7501-$8000</c:v>
                </c:pt>
                <c:pt idx="6">
                  <c:v>$8001-$8500</c:v>
                </c:pt>
                <c:pt idx="7">
                  <c:v>$8501-$9000</c:v>
                </c:pt>
                <c:pt idx="8">
                  <c:v>$9001-$9500</c:v>
                </c:pt>
                <c:pt idx="9">
                  <c:v>over $9500</c:v>
                </c:pt>
              </c:strCache>
            </c:strRef>
          </c:cat>
          <c:val>
            <c:numRef>
              <c:f>SummaryStats!$D$215:$M$215</c:f>
              <c:numCache>
                <c:formatCode>_-* #,##0_-;\-* #,##0_-;_-* "-"??_-;_-@_-</c:formatCode>
                <c:ptCount val="10"/>
                <c:pt idx="0">
                  <c:v>259</c:v>
                </c:pt>
                <c:pt idx="1">
                  <c:v>344</c:v>
                </c:pt>
                <c:pt idx="2">
                  <c:v>310</c:v>
                </c:pt>
                <c:pt idx="3">
                  <c:v>224</c:v>
                </c:pt>
                <c:pt idx="4">
                  <c:v>117</c:v>
                </c:pt>
                <c:pt idx="5">
                  <c:v>98</c:v>
                </c:pt>
                <c:pt idx="6">
                  <c:v>65</c:v>
                </c:pt>
                <c:pt idx="7">
                  <c:v>60</c:v>
                </c:pt>
                <c:pt idx="8">
                  <c:v>42</c:v>
                </c:pt>
                <c:pt idx="9">
                  <c:v>232</c:v>
                </c:pt>
              </c:numCache>
            </c:numRef>
          </c:val>
        </c:ser>
        <c:gapWidth val="40"/>
        <c:overlap val="-27"/>
        <c:axId val="266676864"/>
        <c:axId val="266621696"/>
      </c:barChart>
      <c:catAx>
        <c:axId val="266676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6621696"/>
        <c:crosses val="autoZero"/>
        <c:auto val="1"/>
        <c:lblAlgn val="ctr"/>
        <c:lblOffset val="100"/>
      </c:catAx>
      <c:valAx>
        <c:axId val="266621696"/>
        <c:scaling>
          <c:orientation val="minMax"/>
        </c:scaling>
        <c:axPos val="l"/>
        <c:majorGridlines>
          <c:spPr>
            <a:ln w="9525" cap="flat" cmpd="sng" algn="ctr">
              <a:noFill/>
              <a:round/>
            </a:ln>
            <a:effectLst/>
          </c:spPr>
        </c:majorGridlines>
        <c:numFmt formatCode="_-* #,##0_-;\-* #,##0_-;_-* &quot;-&quot;??_-;_-@_-"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6676864"/>
        <c:crosses val="autoZero"/>
        <c:crossBetween val="between"/>
        <c:majorUnit val="75"/>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6012477205053324"/>
          <c:y val="0.13490008960573491"/>
          <c:w val="0.79455298570908006"/>
          <c:h val="0.48117876344086158"/>
        </c:manualLayout>
      </c:layout>
      <c:barChart>
        <c:barDir val="col"/>
        <c:grouping val="clustered"/>
        <c:ser>
          <c:idx val="0"/>
          <c:order val="0"/>
          <c:spPr>
            <a:solidFill>
              <a:schemeClr val="accent1"/>
            </a:solidFill>
            <a:ln>
              <a:noFill/>
            </a:ln>
            <a:effectLst/>
          </c:spPr>
          <c:cat>
            <c:strRef>
              <c:f>SummaryStats!$D$217:$J$217</c:f>
              <c:strCache>
                <c:ptCount val="7"/>
                <c:pt idx="0">
                  <c:v>up to $7000</c:v>
                </c:pt>
                <c:pt idx="1">
                  <c:v>$7001-$8000</c:v>
                </c:pt>
                <c:pt idx="2">
                  <c:v>$8001-$9000</c:v>
                </c:pt>
                <c:pt idx="3">
                  <c:v>$9001-$10000</c:v>
                </c:pt>
                <c:pt idx="4">
                  <c:v>$10001-$11000</c:v>
                </c:pt>
                <c:pt idx="5">
                  <c:v>$11001-$12000</c:v>
                </c:pt>
                <c:pt idx="6">
                  <c:v>&gt; $12000</c:v>
                </c:pt>
              </c:strCache>
              <c:extLst>
                <c:ext xmlns:c15="http://schemas.microsoft.com/office/drawing/2012/chart" uri="{02D57815-91ED-43cb-92C2-25804820EDAC}">
                  <c15:fullRef>
                    <c15:sqref>SummaryStats!$D$217:$M$217</c15:sqref>
                  </c15:fullRef>
                </c:ext>
              </c:extLst>
            </c:strRef>
          </c:cat>
          <c:val>
            <c:numRef>
              <c:f>SummaryStats!$D$218:$J$218</c:f>
              <c:numCache>
                <c:formatCode>_(* #,##0.00_);_(* \(#,##0.00\);_(* "-"??_);_(@_)</c:formatCode>
                <c:ptCount val="7"/>
                <c:pt idx="0" formatCode="General">
                  <c:v>49</c:v>
                </c:pt>
                <c:pt idx="1">
                  <c:v>66</c:v>
                </c:pt>
                <c:pt idx="2">
                  <c:v>44</c:v>
                </c:pt>
                <c:pt idx="3">
                  <c:v>28</c:v>
                </c:pt>
                <c:pt idx="4">
                  <c:v>30</c:v>
                </c:pt>
                <c:pt idx="5">
                  <c:v>19</c:v>
                </c:pt>
                <c:pt idx="6">
                  <c:v>25</c:v>
                </c:pt>
              </c:numCache>
              <c:extLst>
                <c:ext xmlns:c15="http://schemas.microsoft.com/office/drawing/2012/chart" uri="{02D57815-91ED-43cb-92C2-25804820EDAC}">
                  <c15:fullRef>
                    <c15:sqref>SummaryStats!$D$218:$M$218</c15:sqref>
                  </c15:fullRef>
                </c:ext>
              </c:extLst>
            </c:numRef>
          </c:val>
        </c:ser>
        <c:gapWidth val="40"/>
        <c:overlap val="-27"/>
        <c:axId val="266649984"/>
        <c:axId val="266651520"/>
      </c:barChart>
      <c:catAx>
        <c:axId val="266649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6651520"/>
        <c:crosses val="autoZero"/>
        <c:auto val="1"/>
        <c:lblAlgn val="ctr"/>
        <c:lblOffset val="100"/>
      </c:catAx>
      <c:valAx>
        <c:axId val="266651520"/>
        <c:scaling>
          <c:orientation val="minMax"/>
        </c:scaling>
        <c:axPos val="l"/>
        <c:majorGridlines>
          <c:spPr>
            <a:ln w="9525" cap="flat" cmpd="sng" algn="ctr">
              <a:no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6649984"/>
        <c:crosses val="autoZero"/>
        <c:crossBetween val="between"/>
        <c:majorUnit val="10"/>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NZ"/>
  <c:chart>
    <c:autoTitleDeleted val="1"/>
    <c:plotArea>
      <c:layout>
        <c:manualLayout>
          <c:layoutTarget val="inner"/>
          <c:xMode val="edge"/>
          <c:yMode val="edge"/>
          <c:x val="0.14269314041961642"/>
          <c:y val="0.12955465949820788"/>
          <c:w val="0.79455298570908006"/>
          <c:h val="0.45238440860215118"/>
        </c:manualLayout>
      </c:layout>
      <c:barChart>
        <c:barDir val="col"/>
        <c:grouping val="clustered"/>
        <c:ser>
          <c:idx val="0"/>
          <c:order val="0"/>
          <c:spPr>
            <a:solidFill>
              <a:schemeClr val="accent1"/>
            </a:solidFill>
            <a:ln>
              <a:noFill/>
            </a:ln>
            <a:effectLst/>
          </c:spPr>
          <c:cat>
            <c:strRef>
              <c:f>SummaryStats!$D$220:$L$220</c:f>
              <c:strCache>
                <c:ptCount val="9"/>
                <c:pt idx="0">
                  <c:v>&lt; $7500</c:v>
                </c:pt>
                <c:pt idx="1">
                  <c:v>$7501-$9000</c:v>
                </c:pt>
                <c:pt idx="2">
                  <c:v>$9001-$10500</c:v>
                </c:pt>
                <c:pt idx="3">
                  <c:v>$10501-$12000</c:v>
                </c:pt>
                <c:pt idx="4">
                  <c:v>$12001-$13500</c:v>
                </c:pt>
                <c:pt idx="5">
                  <c:v>$13501-$15000</c:v>
                </c:pt>
                <c:pt idx="6">
                  <c:v>$15001-$16500</c:v>
                </c:pt>
                <c:pt idx="7">
                  <c:v>$16501-$18000</c:v>
                </c:pt>
                <c:pt idx="8">
                  <c:v>&gt; $18000</c:v>
                </c:pt>
              </c:strCache>
            </c:strRef>
          </c:cat>
          <c:val>
            <c:numRef>
              <c:f>SummaryStats!$D$221:$L$221</c:f>
              <c:numCache>
                <c:formatCode>_(* #,##0.00_);_(* \(#,##0.00\);_(* "-"??_);_(@_)</c:formatCode>
                <c:ptCount val="9"/>
                <c:pt idx="0" formatCode="General">
                  <c:v>12</c:v>
                </c:pt>
                <c:pt idx="1">
                  <c:v>11</c:v>
                </c:pt>
                <c:pt idx="2">
                  <c:v>8</c:v>
                </c:pt>
                <c:pt idx="3">
                  <c:v>16</c:v>
                </c:pt>
                <c:pt idx="4">
                  <c:v>19</c:v>
                </c:pt>
                <c:pt idx="5">
                  <c:v>11</c:v>
                </c:pt>
                <c:pt idx="6">
                  <c:v>4</c:v>
                </c:pt>
                <c:pt idx="7">
                  <c:v>6</c:v>
                </c:pt>
                <c:pt idx="8">
                  <c:v>9</c:v>
                </c:pt>
              </c:numCache>
            </c:numRef>
          </c:val>
        </c:ser>
        <c:gapWidth val="40"/>
        <c:overlap val="-27"/>
        <c:axId val="266543872"/>
        <c:axId val="266545408"/>
      </c:barChart>
      <c:catAx>
        <c:axId val="266543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6545408"/>
        <c:crosses val="autoZero"/>
        <c:auto val="1"/>
        <c:lblAlgn val="ctr"/>
        <c:lblOffset val="100"/>
      </c:catAx>
      <c:valAx>
        <c:axId val="266545408"/>
        <c:scaling>
          <c:orientation val="minMax"/>
        </c:scaling>
        <c:axPos val="l"/>
        <c:majorGridlines>
          <c:spPr>
            <a:ln w="9525" cap="flat" cmpd="sng" algn="ctr">
              <a:no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66543872"/>
        <c:crosses val="autoZero"/>
        <c:crossBetween val="between"/>
        <c:majorUnit val="5"/>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0.01068</cdr:x>
      <cdr:y>0.11191</cdr:y>
    </cdr:from>
    <cdr:to>
      <cdr:x>0.05509</cdr:x>
      <cdr:y>0.63144</cdr:y>
    </cdr:to>
    <cdr:sp macro="" textlink="">
      <cdr:nvSpPr>
        <cdr:cNvPr id="2" name="TextBox 1"/>
        <cdr:cNvSpPr txBox="1"/>
      </cdr:nvSpPr>
      <cdr:spPr>
        <a:xfrm xmlns:a="http://schemas.openxmlformats.org/drawingml/2006/main">
          <a:off x="38894" y="300831"/>
          <a:ext cx="161775" cy="1396527"/>
        </a:xfrm>
        <a:prstGeom xmlns:a="http://schemas.openxmlformats.org/drawingml/2006/main" prst="rect">
          <a:avLst/>
        </a:prstGeom>
        <a:ln xmlns:a="http://schemas.openxmlformats.org/drawingml/2006/main">
          <a:noFill/>
        </a:ln>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 of Schools</a:t>
          </a:r>
        </a:p>
      </cdr:txBody>
    </cdr:sp>
  </cdr:relSizeAnchor>
  <cdr:relSizeAnchor xmlns:cdr="http://schemas.openxmlformats.org/drawingml/2006/chartDrawing">
    <cdr:from>
      <cdr:x>0.35626</cdr:x>
      <cdr:y>0.90699</cdr:y>
    </cdr:from>
    <cdr:to>
      <cdr:x>0.74847</cdr:x>
      <cdr:y>0.99557</cdr:y>
    </cdr:to>
    <cdr:sp macro="" textlink="">
      <cdr:nvSpPr>
        <cdr:cNvPr id="8" name="TextBox 7"/>
        <cdr:cNvSpPr txBox="1"/>
      </cdr:nvSpPr>
      <cdr:spPr>
        <a:xfrm xmlns:a="http://schemas.openxmlformats.org/drawingml/2006/main">
          <a:off x="1297782" y="2438060"/>
          <a:ext cx="14287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b="1">
              <a:latin typeface="Verdana" panose="020B0604030504040204" pitchFamily="34" charset="0"/>
              <a:ea typeface="Verdana" panose="020B0604030504040204" pitchFamily="34" charset="0"/>
              <a:cs typeface="Verdana" panose="020B0604030504040204" pitchFamily="34" charset="0"/>
            </a:rPr>
            <a:t>$ per Student</a:t>
          </a:r>
        </a:p>
      </cdr:txBody>
    </cdr:sp>
  </cdr:relSizeAnchor>
  <cdr:relSizeAnchor xmlns:cdr="http://schemas.openxmlformats.org/drawingml/2006/chartDrawing">
    <cdr:from>
      <cdr:x>0</cdr:x>
      <cdr:y>0</cdr:y>
    </cdr:from>
    <cdr:to>
      <cdr:x>0.9217</cdr:x>
      <cdr:y>0.07973</cdr:y>
    </cdr:to>
    <cdr:sp macro="" textlink="">
      <cdr:nvSpPr>
        <cdr:cNvPr id="3" name="TextBox 2"/>
        <cdr:cNvSpPr txBox="1"/>
      </cdr:nvSpPr>
      <cdr:spPr>
        <a:xfrm xmlns:a="http://schemas.openxmlformats.org/drawingml/2006/main">
          <a:off x="0" y="0"/>
          <a:ext cx="3357562" cy="2143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NZ" sz="900" b="1" i="0" baseline="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All Schools - Government Funding per Student</a:t>
          </a:r>
          <a:endParaRPr lang="en-NZ" sz="60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0.79359</cdr:x>
      <cdr:y>0.04346</cdr:y>
    </cdr:from>
    <cdr:to>
      <cdr:x>1</cdr:x>
      <cdr:y>0.28419</cdr:y>
    </cdr:to>
    <cdr:sp macro="" textlink="">
      <cdr:nvSpPr>
        <cdr:cNvPr id="2" name="TextBox 1"/>
        <cdr:cNvSpPr txBox="1"/>
      </cdr:nvSpPr>
      <cdr:spPr>
        <a:xfrm xmlns:a="http://schemas.openxmlformats.org/drawingml/2006/main">
          <a:off x="3422575" y="124861"/>
          <a:ext cx="890225" cy="691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0.00515</cdr:x>
      <cdr:y>0.10057</cdr:y>
    </cdr:from>
    <cdr:to>
      <cdr:x>0.0427</cdr:x>
      <cdr:y>0.74711</cdr:y>
    </cdr:to>
    <cdr:sp macro="" textlink="">
      <cdr:nvSpPr>
        <cdr:cNvPr id="4" name="TextBox 1"/>
        <cdr:cNvSpPr txBox="1"/>
      </cdr:nvSpPr>
      <cdr:spPr>
        <a:xfrm xmlns:a="http://schemas.openxmlformats.org/drawingml/2006/main">
          <a:off x="22225" y="288925"/>
          <a:ext cx="161925" cy="1857375"/>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Spend Proportion</a:t>
          </a:r>
        </a:p>
      </cdr:txBody>
    </cdr:sp>
  </cdr:relSizeAnchor>
</c:userShapes>
</file>

<file path=word/drawings/drawing11.xml><?xml version="1.0" encoding="utf-8"?>
<c:userShapes xmlns:c="http://schemas.openxmlformats.org/drawingml/2006/chart">
  <cdr:relSizeAnchor xmlns:cdr="http://schemas.openxmlformats.org/drawingml/2006/chartDrawing">
    <cdr:from>
      <cdr:x>0.78971</cdr:x>
      <cdr:y>0.06667</cdr:y>
    </cdr:from>
    <cdr:to>
      <cdr:x>1</cdr:x>
      <cdr:y>0.23114</cdr:y>
    </cdr:to>
    <cdr:sp macro="" textlink="">
      <cdr:nvSpPr>
        <cdr:cNvPr id="3" name="TextBox 1"/>
        <cdr:cNvSpPr txBox="1"/>
      </cdr:nvSpPr>
      <cdr:spPr>
        <a:xfrm xmlns:a="http://schemas.openxmlformats.org/drawingml/2006/main">
          <a:off x="3405866" y="191536"/>
          <a:ext cx="906934" cy="4724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cdr:x>
      <cdr:y>0.15157</cdr:y>
    </cdr:from>
    <cdr:to>
      <cdr:x>0.03755</cdr:x>
      <cdr:y>0.79811</cdr:y>
    </cdr:to>
    <cdr:sp macro="" textlink="">
      <cdr:nvSpPr>
        <cdr:cNvPr id="4" name="TextBox 3"/>
        <cdr:cNvSpPr txBox="1"/>
      </cdr:nvSpPr>
      <cdr:spPr>
        <a:xfrm xmlns:a="http://schemas.openxmlformats.org/drawingml/2006/main">
          <a:off x="0" y="435429"/>
          <a:ext cx="161925" cy="185737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a:t>
          </a:r>
          <a:r>
            <a:rPr lang="en-NZ" sz="800" b="1" baseline="0">
              <a:latin typeface="Verdana" panose="020B0604030504040204" pitchFamily="34" charset="0"/>
              <a:ea typeface="Verdana" panose="020B0604030504040204" pitchFamily="34" charset="0"/>
              <a:cs typeface="Verdana" panose="020B0604030504040204" pitchFamily="34" charset="0"/>
            </a:rPr>
            <a:t> per Student</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0.79359</cdr:x>
      <cdr:y>0.06336</cdr:y>
    </cdr:from>
    <cdr:to>
      <cdr:x>1</cdr:x>
      <cdr:y>0.22097</cdr:y>
    </cdr:to>
    <cdr:sp macro="" textlink="">
      <cdr:nvSpPr>
        <cdr:cNvPr id="2" name="TextBox 1"/>
        <cdr:cNvSpPr txBox="1"/>
      </cdr:nvSpPr>
      <cdr:spPr>
        <a:xfrm xmlns:a="http://schemas.openxmlformats.org/drawingml/2006/main">
          <a:off x="3424754" y="153138"/>
          <a:ext cx="890767" cy="380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0.00736</cdr:x>
      <cdr:y>0.1702</cdr:y>
    </cdr:from>
    <cdr:to>
      <cdr:x>0.04491</cdr:x>
      <cdr:y>0.81674</cdr:y>
    </cdr:to>
    <cdr:sp macro="" textlink="">
      <cdr:nvSpPr>
        <cdr:cNvPr id="4" name="TextBox 1"/>
        <cdr:cNvSpPr txBox="1"/>
      </cdr:nvSpPr>
      <cdr:spPr>
        <a:xfrm xmlns:a="http://schemas.openxmlformats.org/drawingml/2006/main">
          <a:off x="31750" y="488950"/>
          <a:ext cx="161925" cy="1857375"/>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Spend Proportion</a:t>
          </a:r>
        </a:p>
      </cdr:txBody>
    </cdr:sp>
  </cdr:relSizeAnchor>
</c:userShapes>
</file>

<file path=word/drawings/drawing13.xml><?xml version="1.0" encoding="utf-8"?>
<c:userShapes xmlns:c="http://schemas.openxmlformats.org/drawingml/2006/chart">
  <cdr:relSizeAnchor xmlns:cdr="http://schemas.openxmlformats.org/drawingml/2006/chartDrawing">
    <cdr:from>
      <cdr:x>0.78917</cdr:x>
      <cdr:y>0.0994</cdr:y>
    </cdr:from>
    <cdr:to>
      <cdr:x>1</cdr:x>
      <cdr:y>0.23155</cdr:y>
    </cdr:to>
    <cdr:sp macro="" textlink="">
      <cdr:nvSpPr>
        <cdr:cNvPr id="2" name="TextBox 1"/>
        <cdr:cNvSpPr txBox="1"/>
      </cdr:nvSpPr>
      <cdr:spPr>
        <a:xfrm xmlns:a="http://schemas.openxmlformats.org/drawingml/2006/main">
          <a:off x="3403526" y="349971"/>
          <a:ext cx="909274" cy="46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cdr:x>
      <cdr:y>0.2552</cdr:y>
    </cdr:from>
    <cdr:to>
      <cdr:x>0.03755</cdr:x>
      <cdr:y>0.78275</cdr:y>
    </cdr:to>
    <cdr:sp macro="" textlink="">
      <cdr:nvSpPr>
        <cdr:cNvPr id="4" name="TextBox 1"/>
        <cdr:cNvSpPr txBox="1"/>
      </cdr:nvSpPr>
      <cdr:spPr>
        <a:xfrm xmlns:a="http://schemas.openxmlformats.org/drawingml/2006/main">
          <a:off x="0" y="898525"/>
          <a:ext cx="161925" cy="1857375"/>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a:t>
          </a:r>
          <a:r>
            <a:rPr lang="en-NZ" sz="800" b="1" baseline="0">
              <a:latin typeface="Verdana" panose="020B0604030504040204" pitchFamily="34" charset="0"/>
              <a:ea typeface="Verdana" panose="020B0604030504040204" pitchFamily="34" charset="0"/>
              <a:cs typeface="Verdana" panose="020B0604030504040204" pitchFamily="34" charset="0"/>
            </a:rPr>
            <a:t> per Student</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0.79359</cdr:x>
      <cdr:y>0.04346</cdr:y>
    </cdr:from>
    <cdr:to>
      <cdr:x>1</cdr:x>
      <cdr:y>0.28419</cdr:y>
    </cdr:to>
    <cdr:sp macro="" textlink="">
      <cdr:nvSpPr>
        <cdr:cNvPr id="2" name="TextBox 1"/>
        <cdr:cNvSpPr txBox="1"/>
      </cdr:nvSpPr>
      <cdr:spPr>
        <a:xfrm xmlns:a="http://schemas.openxmlformats.org/drawingml/2006/main">
          <a:off x="3422575" y="124861"/>
          <a:ext cx="890225" cy="691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0.00515</cdr:x>
      <cdr:y>0.10057</cdr:y>
    </cdr:from>
    <cdr:to>
      <cdr:x>0.0427</cdr:x>
      <cdr:y>0.74711</cdr:y>
    </cdr:to>
    <cdr:sp macro="" textlink="">
      <cdr:nvSpPr>
        <cdr:cNvPr id="4" name="TextBox 1"/>
        <cdr:cNvSpPr txBox="1"/>
      </cdr:nvSpPr>
      <cdr:spPr>
        <a:xfrm xmlns:a="http://schemas.openxmlformats.org/drawingml/2006/main">
          <a:off x="22225" y="288925"/>
          <a:ext cx="161925" cy="1857375"/>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Spend Proportion</a:t>
          </a:r>
        </a:p>
      </cdr:txBody>
    </cdr:sp>
  </cdr:relSizeAnchor>
</c:userShapes>
</file>

<file path=word/drawings/drawing15.xml><?xml version="1.0" encoding="utf-8"?>
<c:userShapes xmlns:c="http://schemas.openxmlformats.org/drawingml/2006/chart">
  <cdr:relSizeAnchor xmlns:cdr="http://schemas.openxmlformats.org/drawingml/2006/chartDrawing">
    <cdr:from>
      <cdr:x>0.78971</cdr:x>
      <cdr:y>0.06667</cdr:y>
    </cdr:from>
    <cdr:to>
      <cdr:x>1</cdr:x>
      <cdr:y>0.23114</cdr:y>
    </cdr:to>
    <cdr:sp macro="" textlink="">
      <cdr:nvSpPr>
        <cdr:cNvPr id="3" name="TextBox 1"/>
        <cdr:cNvSpPr txBox="1"/>
      </cdr:nvSpPr>
      <cdr:spPr>
        <a:xfrm xmlns:a="http://schemas.openxmlformats.org/drawingml/2006/main">
          <a:off x="3405866" y="191536"/>
          <a:ext cx="906934" cy="4724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cdr:x>
      <cdr:y>0.15157</cdr:y>
    </cdr:from>
    <cdr:to>
      <cdr:x>0.03755</cdr:x>
      <cdr:y>0.79811</cdr:y>
    </cdr:to>
    <cdr:sp macro="" textlink="">
      <cdr:nvSpPr>
        <cdr:cNvPr id="4" name="TextBox 3"/>
        <cdr:cNvSpPr txBox="1"/>
      </cdr:nvSpPr>
      <cdr:spPr>
        <a:xfrm xmlns:a="http://schemas.openxmlformats.org/drawingml/2006/main">
          <a:off x="0" y="435429"/>
          <a:ext cx="161925" cy="1857375"/>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a:t>
          </a:r>
          <a:r>
            <a:rPr lang="en-NZ" sz="800" b="1" baseline="0">
              <a:latin typeface="Verdana" panose="020B0604030504040204" pitchFamily="34" charset="0"/>
              <a:ea typeface="Verdana" panose="020B0604030504040204" pitchFamily="34" charset="0"/>
              <a:cs typeface="Verdana" panose="020B0604030504040204" pitchFamily="34" charset="0"/>
            </a:rPr>
            <a:t> per Student</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0.79359</cdr:x>
      <cdr:y>0.06336</cdr:y>
    </cdr:from>
    <cdr:to>
      <cdr:x>1</cdr:x>
      <cdr:y>0.22097</cdr:y>
    </cdr:to>
    <cdr:sp macro="" textlink="">
      <cdr:nvSpPr>
        <cdr:cNvPr id="2" name="TextBox 1"/>
        <cdr:cNvSpPr txBox="1"/>
      </cdr:nvSpPr>
      <cdr:spPr>
        <a:xfrm xmlns:a="http://schemas.openxmlformats.org/drawingml/2006/main">
          <a:off x="3424754" y="153138"/>
          <a:ext cx="890767" cy="380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0.00736</cdr:x>
      <cdr:y>0.1702</cdr:y>
    </cdr:from>
    <cdr:to>
      <cdr:x>0.04491</cdr:x>
      <cdr:y>0.81674</cdr:y>
    </cdr:to>
    <cdr:sp macro="" textlink="">
      <cdr:nvSpPr>
        <cdr:cNvPr id="4" name="TextBox 1"/>
        <cdr:cNvSpPr txBox="1"/>
      </cdr:nvSpPr>
      <cdr:spPr>
        <a:xfrm xmlns:a="http://schemas.openxmlformats.org/drawingml/2006/main">
          <a:off x="31750" y="488950"/>
          <a:ext cx="161925" cy="1857375"/>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Spend Proportion</a:t>
          </a:r>
        </a:p>
      </cdr:txBody>
    </cdr:sp>
  </cdr:relSizeAnchor>
</c:userShapes>
</file>

<file path=word/drawings/drawing17.xml><?xml version="1.0" encoding="utf-8"?>
<c:userShapes xmlns:c="http://schemas.openxmlformats.org/drawingml/2006/chart">
  <cdr:relSizeAnchor xmlns:cdr="http://schemas.openxmlformats.org/drawingml/2006/chartDrawing">
    <cdr:from>
      <cdr:x>0.78917</cdr:x>
      <cdr:y>0.0994</cdr:y>
    </cdr:from>
    <cdr:to>
      <cdr:x>1</cdr:x>
      <cdr:y>0.23155</cdr:y>
    </cdr:to>
    <cdr:sp macro="" textlink="">
      <cdr:nvSpPr>
        <cdr:cNvPr id="2" name="TextBox 1"/>
        <cdr:cNvSpPr txBox="1"/>
      </cdr:nvSpPr>
      <cdr:spPr>
        <a:xfrm xmlns:a="http://schemas.openxmlformats.org/drawingml/2006/main">
          <a:off x="3403526" y="349971"/>
          <a:ext cx="909274" cy="46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cdr:x>
      <cdr:y>0.2552</cdr:y>
    </cdr:from>
    <cdr:to>
      <cdr:x>0.03755</cdr:x>
      <cdr:y>0.78275</cdr:y>
    </cdr:to>
    <cdr:sp macro="" textlink="">
      <cdr:nvSpPr>
        <cdr:cNvPr id="4" name="TextBox 1"/>
        <cdr:cNvSpPr txBox="1"/>
      </cdr:nvSpPr>
      <cdr:spPr>
        <a:xfrm xmlns:a="http://schemas.openxmlformats.org/drawingml/2006/main">
          <a:off x="0" y="898525"/>
          <a:ext cx="161925" cy="1857375"/>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a:t>
          </a:r>
          <a:r>
            <a:rPr lang="en-NZ" sz="800" b="1" baseline="0">
              <a:latin typeface="Verdana" panose="020B0604030504040204" pitchFamily="34" charset="0"/>
              <a:ea typeface="Verdana" panose="020B0604030504040204" pitchFamily="34" charset="0"/>
              <a:cs typeface="Verdana" panose="020B0604030504040204" pitchFamily="34" charset="0"/>
            </a:rPr>
            <a:t> per Student</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0.79359</cdr:x>
      <cdr:y>0.04346</cdr:y>
    </cdr:from>
    <cdr:to>
      <cdr:x>1</cdr:x>
      <cdr:y>0.28419</cdr:y>
    </cdr:to>
    <cdr:sp macro="" textlink="">
      <cdr:nvSpPr>
        <cdr:cNvPr id="2" name="TextBox 1"/>
        <cdr:cNvSpPr txBox="1"/>
      </cdr:nvSpPr>
      <cdr:spPr>
        <a:xfrm xmlns:a="http://schemas.openxmlformats.org/drawingml/2006/main">
          <a:off x="3422575" y="124861"/>
          <a:ext cx="890225" cy="6915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0.00515</cdr:x>
      <cdr:y>0.10057</cdr:y>
    </cdr:from>
    <cdr:to>
      <cdr:x>0.0427</cdr:x>
      <cdr:y>0.74711</cdr:y>
    </cdr:to>
    <cdr:sp macro="" textlink="">
      <cdr:nvSpPr>
        <cdr:cNvPr id="4" name="TextBox 1"/>
        <cdr:cNvSpPr txBox="1"/>
      </cdr:nvSpPr>
      <cdr:spPr>
        <a:xfrm xmlns:a="http://schemas.openxmlformats.org/drawingml/2006/main">
          <a:off x="22225" y="288925"/>
          <a:ext cx="161925" cy="1857375"/>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Spend Proportion</a:t>
          </a:r>
        </a:p>
      </cdr:txBody>
    </cdr:sp>
  </cdr:relSizeAnchor>
</c:userShapes>
</file>

<file path=word/drawings/drawing19.xml><?xml version="1.0" encoding="utf-8"?>
<c:userShapes xmlns:c="http://schemas.openxmlformats.org/drawingml/2006/chart">
  <cdr:relSizeAnchor xmlns:cdr="http://schemas.openxmlformats.org/drawingml/2006/chartDrawing">
    <cdr:from>
      <cdr:x>0.78917</cdr:x>
      <cdr:y>0.0994</cdr:y>
    </cdr:from>
    <cdr:to>
      <cdr:x>1</cdr:x>
      <cdr:y>0.23155</cdr:y>
    </cdr:to>
    <cdr:sp macro="" textlink="">
      <cdr:nvSpPr>
        <cdr:cNvPr id="2" name="TextBox 1"/>
        <cdr:cNvSpPr txBox="1"/>
      </cdr:nvSpPr>
      <cdr:spPr>
        <a:xfrm xmlns:a="http://schemas.openxmlformats.org/drawingml/2006/main">
          <a:off x="3403526" y="349971"/>
          <a:ext cx="909274" cy="46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Expenditure</a:t>
          </a:r>
          <a:r>
            <a:rPr lang="en-NZ" sz="800" b="1" baseline="0">
              <a:latin typeface="Verdana" panose="020B0604030504040204" pitchFamily="34" charset="0"/>
              <a:ea typeface="Verdana" panose="020B0604030504040204" pitchFamily="34" charset="0"/>
              <a:cs typeface="Verdana" panose="020B0604030504040204" pitchFamily="34" charset="0"/>
            </a:rPr>
            <a:t> Category</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cdr:x>
      <cdr:y>0.2552</cdr:y>
    </cdr:from>
    <cdr:to>
      <cdr:x>0.03755</cdr:x>
      <cdr:y>0.78275</cdr:y>
    </cdr:to>
    <cdr:sp macro="" textlink="">
      <cdr:nvSpPr>
        <cdr:cNvPr id="4" name="TextBox 1"/>
        <cdr:cNvSpPr txBox="1"/>
      </cdr:nvSpPr>
      <cdr:spPr>
        <a:xfrm xmlns:a="http://schemas.openxmlformats.org/drawingml/2006/main">
          <a:off x="0" y="898525"/>
          <a:ext cx="161925" cy="1857375"/>
        </a:xfrm>
        <a:prstGeom xmlns:a="http://schemas.openxmlformats.org/drawingml/2006/main" prst="rect">
          <a:avLst/>
        </a:prstGeom>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a:t>
          </a:r>
          <a:r>
            <a:rPr lang="en-NZ" sz="800" b="1" baseline="0">
              <a:latin typeface="Verdana" panose="020B0604030504040204" pitchFamily="34" charset="0"/>
              <a:ea typeface="Verdana" panose="020B0604030504040204" pitchFamily="34" charset="0"/>
              <a:cs typeface="Verdana" panose="020B0604030504040204" pitchFamily="34" charset="0"/>
            </a:rPr>
            <a:t> per Student</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0.01068</cdr:x>
      <cdr:y>0.11191</cdr:y>
    </cdr:from>
    <cdr:to>
      <cdr:x>0.05509</cdr:x>
      <cdr:y>0.63144</cdr:y>
    </cdr:to>
    <cdr:sp macro="" textlink="">
      <cdr:nvSpPr>
        <cdr:cNvPr id="2" name="TextBox 1"/>
        <cdr:cNvSpPr txBox="1"/>
      </cdr:nvSpPr>
      <cdr:spPr>
        <a:xfrm xmlns:a="http://schemas.openxmlformats.org/drawingml/2006/main">
          <a:off x="38894" y="300831"/>
          <a:ext cx="161775" cy="1396527"/>
        </a:xfrm>
        <a:prstGeom xmlns:a="http://schemas.openxmlformats.org/drawingml/2006/main" prst="rect">
          <a:avLst/>
        </a:prstGeom>
        <a:ln xmlns:a="http://schemas.openxmlformats.org/drawingml/2006/main">
          <a:noFill/>
        </a:ln>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 of Schools</a:t>
          </a:r>
        </a:p>
      </cdr:txBody>
    </cdr:sp>
  </cdr:relSizeAnchor>
  <cdr:relSizeAnchor xmlns:cdr="http://schemas.openxmlformats.org/drawingml/2006/chartDrawing">
    <cdr:from>
      <cdr:x>0.35626</cdr:x>
      <cdr:y>0.90699</cdr:y>
    </cdr:from>
    <cdr:to>
      <cdr:x>0.74847</cdr:x>
      <cdr:y>0.99557</cdr:y>
    </cdr:to>
    <cdr:sp macro="" textlink="">
      <cdr:nvSpPr>
        <cdr:cNvPr id="8" name="TextBox 7"/>
        <cdr:cNvSpPr txBox="1"/>
      </cdr:nvSpPr>
      <cdr:spPr>
        <a:xfrm xmlns:a="http://schemas.openxmlformats.org/drawingml/2006/main">
          <a:off x="1297782" y="2438060"/>
          <a:ext cx="14287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b="1">
              <a:latin typeface="Verdana" panose="020B0604030504040204" pitchFamily="34" charset="0"/>
              <a:ea typeface="Verdana" panose="020B0604030504040204" pitchFamily="34" charset="0"/>
              <a:cs typeface="Verdana" panose="020B0604030504040204" pitchFamily="34" charset="0"/>
            </a:rPr>
            <a:t>$ per Student</a:t>
          </a:r>
        </a:p>
      </cdr:txBody>
    </cdr:sp>
  </cdr:relSizeAnchor>
  <cdr:relSizeAnchor xmlns:cdr="http://schemas.openxmlformats.org/drawingml/2006/chartDrawing">
    <cdr:from>
      <cdr:x>0</cdr:x>
      <cdr:y>0</cdr:y>
    </cdr:from>
    <cdr:to>
      <cdr:x>0.99945</cdr:x>
      <cdr:y>0.12371</cdr:y>
    </cdr:to>
    <cdr:sp macro="" textlink="">
      <cdr:nvSpPr>
        <cdr:cNvPr id="9" name="TextBox 1"/>
        <cdr:cNvSpPr txBox="1"/>
      </cdr:nvSpPr>
      <cdr:spPr>
        <a:xfrm xmlns:a="http://schemas.openxmlformats.org/drawingml/2006/main">
          <a:off x="0" y="0"/>
          <a:ext cx="3640347" cy="2760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NZ" sz="900" b="1" i="0" baseline="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Primary &amp; intermediate - Government Funding per Student</a:t>
          </a:r>
          <a:endParaRPr lang="en-NZ" sz="60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0.01068</cdr:x>
      <cdr:y>0.11191</cdr:y>
    </cdr:from>
    <cdr:to>
      <cdr:x>0.05509</cdr:x>
      <cdr:y>0.63144</cdr:y>
    </cdr:to>
    <cdr:sp macro="" textlink="">
      <cdr:nvSpPr>
        <cdr:cNvPr id="2" name="TextBox 1"/>
        <cdr:cNvSpPr txBox="1"/>
      </cdr:nvSpPr>
      <cdr:spPr>
        <a:xfrm xmlns:a="http://schemas.openxmlformats.org/drawingml/2006/main">
          <a:off x="38894" y="300831"/>
          <a:ext cx="161775" cy="1396527"/>
        </a:xfrm>
        <a:prstGeom xmlns:a="http://schemas.openxmlformats.org/drawingml/2006/main" prst="rect">
          <a:avLst/>
        </a:prstGeom>
        <a:ln xmlns:a="http://schemas.openxmlformats.org/drawingml/2006/main">
          <a:noFill/>
        </a:ln>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 of Schools</a:t>
          </a:r>
        </a:p>
      </cdr:txBody>
    </cdr:sp>
  </cdr:relSizeAnchor>
  <cdr:relSizeAnchor xmlns:cdr="http://schemas.openxmlformats.org/drawingml/2006/chartDrawing">
    <cdr:from>
      <cdr:x>0.35626</cdr:x>
      <cdr:y>0.90699</cdr:y>
    </cdr:from>
    <cdr:to>
      <cdr:x>0.74847</cdr:x>
      <cdr:y>0.99557</cdr:y>
    </cdr:to>
    <cdr:sp macro="" textlink="">
      <cdr:nvSpPr>
        <cdr:cNvPr id="8" name="TextBox 7"/>
        <cdr:cNvSpPr txBox="1"/>
      </cdr:nvSpPr>
      <cdr:spPr>
        <a:xfrm xmlns:a="http://schemas.openxmlformats.org/drawingml/2006/main">
          <a:off x="1297782" y="2438060"/>
          <a:ext cx="14287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b="1">
              <a:latin typeface="Verdana" panose="020B0604030504040204" pitchFamily="34" charset="0"/>
              <a:ea typeface="Verdana" panose="020B0604030504040204" pitchFamily="34" charset="0"/>
              <a:cs typeface="Verdana" panose="020B0604030504040204" pitchFamily="34" charset="0"/>
            </a:rPr>
            <a:t>$ per Student</a:t>
          </a:r>
        </a:p>
      </cdr:txBody>
    </cdr:sp>
  </cdr:relSizeAnchor>
  <cdr:relSizeAnchor xmlns:cdr="http://schemas.openxmlformats.org/drawingml/2006/chartDrawing">
    <cdr:from>
      <cdr:x>0</cdr:x>
      <cdr:y>0</cdr:y>
    </cdr:from>
    <cdr:to>
      <cdr:x>0.9217</cdr:x>
      <cdr:y>0.07973</cdr:y>
    </cdr:to>
    <cdr:sp macro="" textlink="">
      <cdr:nvSpPr>
        <cdr:cNvPr id="3" name="TextBox 2"/>
        <cdr:cNvSpPr txBox="1"/>
      </cdr:nvSpPr>
      <cdr:spPr>
        <a:xfrm xmlns:a="http://schemas.openxmlformats.org/drawingml/2006/main">
          <a:off x="0" y="0"/>
          <a:ext cx="3357562" cy="2143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NZ" sz="900" b="1" i="0" baseline="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Secondary - Government Funding per Student</a:t>
          </a:r>
          <a:endParaRPr lang="en-NZ" sz="60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0.01068</cdr:x>
      <cdr:y>0.11191</cdr:y>
    </cdr:from>
    <cdr:to>
      <cdr:x>0.05509</cdr:x>
      <cdr:y>0.63144</cdr:y>
    </cdr:to>
    <cdr:sp macro="" textlink="">
      <cdr:nvSpPr>
        <cdr:cNvPr id="2" name="TextBox 1"/>
        <cdr:cNvSpPr txBox="1"/>
      </cdr:nvSpPr>
      <cdr:spPr>
        <a:xfrm xmlns:a="http://schemas.openxmlformats.org/drawingml/2006/main">
          <a:off x="38894" y="300831"/>
          <a:ext cx="161775" cy="1396527"/>
        </a:xfrm>
        <a:prstGeom xmlns:a="http://schemas.openxmlformats.org/drawingml/2006/main" prst="rect">
          <a:avLst/>
        </a:prstGeom>
        <a:ln xmlns:a="http://schemas.openxmlformats.org/drawingml/2006/main">
          <a:noFill/>
        </a:ln>
      </cdr:spPr>
      <cdr:txBody>
        <a:bodyPr xmlns:a="http://schemas.openxmlformats.org/drawingml/2006/main" vert="vert270"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b="1">
              <a:latin typeface="Verdana" panose="020B0604030504040204" pitchFamily="34" charset="0"/>
              <a:ea typeface="Verdana" panose="020B0604030504040204" pitchFamily="34" charset="0"/>
              <a:cs typeface="Verdana" panose="020B0604030504040204" pitchFamily="34" charset="0"/>
            </a:rPr>
            <a:t># of Schools</a:t>
          </a:r>
        </a:p>
      </cdr:txBody>
    </cdr:sp>
  </cdr:relSizeAnchor>
  <cdr:relSizeAnchor xmlns:cdr="http://schemas.openxmlformats.org/drawingml/2006/chartDrawing">
    <cdr:from>
      <cdr:x>0.35626</cdr:x>
      <cdr:y>0.90699</cdr:y>
    </cdr:from>
    <cdr:to>
      <cdr:x>0.74847</cdr:x>
      <cdr:y>0.99557</cdr:y>
    </cdr:to>
    <cdr:sp macro="" textlink="">
      <cdr:nvSpPr>
        <cdr:cNvPr id="8" name="TextBox 7"/>
        <cdr:cNvSpPr txBox="1"/>
      </cdr:nvSpPr>
      <cdr:spPr>
        <a:xfrm xmlns:a="http://schemas.openxmlformats.org/drawingml/2006/main">
          <a:off x="1297782" y="2438060"/>
          <a:ext cx="14287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b="1">
              <a:latin typeface="Verdana" panose="020B0604030504040204" pitchFamily="34" charset="0"/>
              <a:ea typeface="Verdana" panose="020B0604030504040204" pitchFamily="34" charset="0"/>
              <a:cs typeface="Verdana" panose="020B0604030504040204" pitchFamily="34" charset="0"/>
            </a:rPr>
            <a:t>$ per Student</a:t>
          </a:r>
        </a:p>
      </cdr:txBody>
    </cdr:sp>
  </cdr:relSizeAnchor>
  <cdr:relSizeAnchor xmlns:cdr="http://schemas.openxmlformats.org/drawingml/2006/chartDrawing">
    <cdr:from>
      <cdr:x>0</cdr:x>
      <cdr:y>0</cdr:y>
    </cdr:from>
    <cdr:to>
      <cdr:x>0.9217</cdr:x>
      <cdr:y>0.07973</cdr:y>
    </cdr:to>
    <cdr:sp macro="" textlink="">
      <cdr:nvSpPr>
        <cdr:cNvPr id="3" name="TextBox 2"/>
        <cdr:cNvSpPr txBox="1"/>
      </cdr:nvSpPr>
      <cdr:spPr>
        <a:xfrm xmlns:a="http://schemas.openxmlformats.org/drawingml/2006/main">
          <a:off x="0" y="0"/>
          <a:ext cx="3357562" cy="2143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NZ" sz="900" b="1" i="0" baseline="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Composite - Government Funding per Student</a:t>
          </a:r>
          <a:endParaRPr lang="en-NZ" sz="60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0.15633</cdr:x>
      <cdr:y>0.80671</cdr:y>
    </cdr:from>
    <cdr:to>
      <cdr:x>0.31536</cdr:x>
      <cdr:y>0.96296</cdr:y>
    </cdr:to>
    <cdr:sp macro="" textlink="">
      <cdr:nvSpPr>
        <cdr:cNvPr id="2" name="TextBox 1"/>
        <cdr:cNvSpPr txBox="1"/>
      </cdr:nvSpPr>
      <cdr:spPr>
        <a:xfrm xmlns:a="http://schemas.openxmlformats.org/drawingml/2006/main">
          <a:off x="1104900" y="2212975"/>
          <a:ext cx="1123951" cy="428625"/>
        </a:xfrm>
        <a:prstGeom xmlns:a="http://schemas.openxmlformats.org/drawingml/2006/main" prst="rect">
          <a:avLst/>
        </a:prstGeom>
      </cdr:spPr>
      <cdr:txBody>
        <a:bodyPr xmlns:a="http://schemas.openxmlformats.org/drawingml/2006/main" vertOverflow="clip" horzOverflow="clip" wrap="square" rtlCol="0"/>
        <a:lstStyle xmlns:a="http://schemas.openxmlformats.org/drawingml/2006/main"/>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Primary &amp; intermediate</a:t>
          </a:r>
        </a:p>
      </cdr:txBody>
    </cdr:sp>
  </cdr:relSizeAnchor>
  <cdr:relSizeAnchor xmlns:cdr="http://schemas.openxmlformats.org/drawingml/2006/chartDrawing">
    <cdr:from>
      <cdr:x>0.29021</cdr:x>
      <cdr:y>0.80671</cdr:y>
    </cdr:from>
    <cdr:to>
      <cdr:x>0.44924</cdr:x>
      <cdr:y>0.94676</cdr:y>
    </cdr:to>
    <cdr:sp macro="" textlink="">
      <cdr:nvSpPr>
        <cdr:cNvPr id="3" name="TextBox 1"/>
        <cdr:cNvSpPr txBox="1"/>
      </cdr:nvSpPr>
      <cdr:spPr>
        <a:xfrm xmlns:a="http://schemas.openxmlformats.org/drawingml/2006/main">
          <a:off x="2051050" y="2212975"/>
          <a:ext cx="1123951" cy="384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Secondary</a:t>
          </a:r>
        </a:p>
      </cdr:txBody>
    </cdr:sp>
  </cdr:relSizeAnchor>
  <cdr:relSizeAnchor xmlns:cdr="http://schemas.openxmlformats.org/drawingml/2006/chartDrawing">
    <cdr:from>
      <cdr:x>0.4142</cdr:x>
      <cdr:y>0.80671</cdr:y>
    </cdr:from>
    <cdr:to>
      <cdr:x>0.57323</cdr:x>
      <cdr:y>0.94444</cdr:y>
    </cdr:to>
    <cdr:sp macro="" textlink="">
      <cdr:nvSpPr>
        <cdr:cNvPr id="4" name="TextBox 1"/>
        <cdr:cNvSpPr txBox="1"/>
      </cdr:nvSpPr>
      <cdr:spPr>
        <a:xfrm xmlns:a="http://schemas.openxmlformats.org/drawingml/2006/main">
          <a:off x="2927350" y="2212975"/>
          <a:ext cx="1123951" cy="3778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Composite</a:t>
          </a:r>
        </a:p>
      </cdr:txBody>
    </cdr:sp>
  </cdr:relSizeAnchor>
  <cdr:relSizeAnchor xmlns:cdr="http://schemas.openxmlformats.org/drawingml/2006/chartDrawing">
    <cdr:from>
      <cdr:x>0.54358</cdr:x>
      <cdr:y>0.80671</cdr:y>
    </cdr:from>
    <cdr:to>
      <cdr:x>0.70261</cdr:x>
      <cdr:y>0.94676</cdr:y>
    </cdr:to>
    <cdr:sp macro="" textlink="">
      <cdr:nvSpPr>
        <cdr:cNvPr id="5" name="TextBox 1"/>
        <cdr:cNvSpPr txBox="1"/>
      </cdr:nvSpPr>
      <cdr:spPr>
        <a:xfrm xmlns:a="http://schemas.openxmlformats.org/drawingml/2006/main">
          <a:off x="3841750" y="2212975"/>
          <a:ext cx="1123951" cy="384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Special</a:t>
          </a:r>
        </a:p>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Schools</a:t>
          </a:r>
        </a:p>
      </cdr:txBody>
    </cdr:sp>
  </cdr:relSizeAnchor>
  <cdr:relSizeAnchor xmlns:cdr="http://schemas.openxmlformats.org/drawingml/2006/chartDrawing">
    <cdr:from>
      <cdr:x>0.15409</cdr:x>
      <cdr:y>0.05324</cdr:y>
    </cdr:from>
    <cdr:to>
      <cdr:x>0.31312</cdr:x>
      <cdr:y>0.20949</cdr:y>
    </cdr:to>
    <cdr:sp macro="" textlink="">
      <cdr:nvSpPr>
        <cdr:cNvPr id="6" name="TextBox 1"/>
        <cdr:cNvSpPr txBox="1"/>
      </cdr:nvSpPr>
      <cdr:spPr>
        <a:xfrm xmlns:a="http://schemas.openxmlformats.org/drawingml/2006/main">
          <a:off x="1089025" y="146050"/>
          <a:ext cx="1123951" cy="4286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Primary &amp; intermediate</a:t>
          </a:r>
        </a:p>
      </cdr:txBody>
    </cdr:sp>
  </cdr:relSizeAnchor>
  <cdr:relSizeAnchor xmlns:cdr="http://schemas.openxmlformats.org/drawingml/2006/chartDrawing">
    <cdr:from>
      <cdr:x>0.28796</cdr:x>
      <cdr:y>0.05324</cdr:y>
    </cdr:from>
    <cdr:to>
      <cdr:x>0.44699</cdr:x>
      <cdr:y>0.19329</cdr:y>
    </cdr:to>
    <cdr:sp macro="" textlink="">
      <cdr:nvSpPr>
        <cdr:cNvPr id="7" name="TextBox 1"/>
        <cdr:cNvSpPr txBox="1"/>
      </cdr:nvSpPr>
      <cdr:spPr>
        <a:xfrm xmlns:a="http://schemas.openxmlformats.org/drawingml/2006/main">
          <a:off x="2035175" y="146050"/>
          <a:ext cx="1123951" cy="384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Secondary</a:t>
          </a:r>
        </a:p>
      </cdr:txBody>
    </cdr:sp>
  </cdr:relSizeAnchor>
  <cdr:relSizeAnchor xmlns:cdr="http://schemas.openxmlformats.org/drawingml/2006/chartDrawing">
    <cdr:from>
      <cdr:x>0.41195</cdr:x>
      <cdr:y>0.05324</cdr:y>
    </cdr:from>
    <cdr:to>
      <cdr:x>0.57098</cdr:x>
      <cdr:y>0.19097</cdr:y>
    </cdr:to>
    <cdr:sp macro="" textlink="">
      <cdr:nvSpPr>
        <cdr:cNvPr id="8" name="TextBox 1"/>
        <cdr:cNvSpPr txBox="1"/>
      </cdr:nvSpPr>
      <cdr:spPr>
        <a:xfrm xmlns:a="http://schemas.openxmlformats.org/drawingml/2006/main">
          <a:off x="2911475" y="146050"/>
          <a:ext cx="1123951" cy="3778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Composite</a:t>
          </a:r>
        </a:p>
      </cdr:txBody>
    </cdr:sp>
  </cdr:relSizeAnchor>
  <cdr:relSizeAnchor xmlns:cdr="http://schemas.openxmlformats.org/drawingml/2006/chartDrawing">
    <cdr:from>
      <cdr:x>0.54133</cdr:x>
      <cdr:y>0.05324</cdr:y>
    </cdr:from>
    <cdr:to>
      <cdr:x>0.70036</cdr:x>
      <cdr:y>0.19329</cdr:y>
    </cdr:to>
    <cdr:sp macro="" textlink="">
      <cdr:nvSpPr>
        <cdr:cNvPr id="9" name="TextBox 1"/>
        <cdr:cNvSpPr txBox="1"/>
      </cdr:nvSpPr>
      <cdr:spPr>
        <a:xfrm xmlns:a="http://schemas.openxmlformats.org/drawingml/2006/main">
          <a:off x="3825875" y="146050"/>
          <a:ext cx="1123951" cy="384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Special</a:t>
          </a:r>
        </a:p>
        <a:p xmlns:a="http://schemas.openxmlformats.org/drawingml/2006/main">
          <a:pPr algn="ctr"/>
          <a:r>
            <a:rPr lang="en-NZ" sz="800">
              <a:latin typeface="Verdana" panose="020B0604030504040204" pitchFamily="34" charset="0"/>
              <a:ea typeface="Verdana" panose="020B0604030504040204" pitchFamily="34" charset="0"/>
              <a:cs typeface="Verdana" panose="020B0604030504040204" pitchFamily="34" charset="0"/>
            </a:rPr>
            <a:t>Schools</a:t>
          </a:r>
        </a:p>
      </cdr:txBody>
    </cdr:sp>
  </cdr:relSizeAnchor>
</c:userShapes>
</file>

<file path=word/drawings/drawing6.xml><?xml version="1.0" encoding="utf-8"?>
<c:userShapes xmlns:c="http://schemas.openxmlformats.org/drawingml/2006/chart">
  <cdr:relSizeAnchor xmlns:cdr="http://schemas.openxmlformats.org/drawingml/2006/chartDrawing">
    <cdr:from>
      <cdr:x>0.74218</cdr:x>
      <cdr:y>0.05292</cdr:y>
    </cdr:from>
    <cdr:to>
      <cdr:x>0.99279</cdr:x>
      <cdr:y>0.19538</cdr:y>
    </cdr:to>
    <cdr:sp macro="" textlink="">
      <cdr:nvSpPr>
        <cdr:cNvPr id="2" name="TextBox 1"/>
        <cdr:cNvSpPr txBox="1"/>
      </cdr:nvSpPr>
      <cdr:spPr>
        <a:xfrm xmlns:a="http://schemas.openxmlformats.org/drawingml/2006/main">
          <a:off x="2933700" y="123824"/>
          <a:ext cx="990601" cy="333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 Per</a:t>
          </a:r>
          <a:r>
            <a:rPr lang="en-NZ" sz="800" b="1" baseline="0">
              <a:latin typeface="Verdana" panose="020B0604030504040204" pitchFamily="34" charset="0"/>
              <a:ea typeface="Verdana" panose="020B0604030504040204" pitchFamily="34" charset="0"/>
              <a:cs typeface="Verdana" panose="020B0604030504040204" pitchFamily="34" charset="0"/>
            </a:rPr>
            <a:t> Student</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0.74218</cdr:x>
      <cdr:y>0.05292</cdr:y>
    </cdr:from>
    <cdr:to>
      <cdr:x>0.99279</cdr:x>
      <cdr:y>0.19538</cdr:y>
    </cdr:to>
    <cdr:sp macro="" textlink="">
      <cdr:nvSpPr>
        <cdr:cNvPr id="2" name="TextBox 1"/>
        <cdr:cNvSpPr txBox="1"/>
      </cdr:nvSpPr>
      <cdr:spPr>
        <a:xfrm xmlns:a="http://schemas.openxmlformats.org/drawingml/2006/main">
          <a:off x="2933700" y="123824"/>
          <a:ext cx="990601" cy="333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 Per</a:t>
          </a:r>
          <a:r>
            <a:rPr lang="en-NZ" sz="800" b="1" baseline="0">
              <a:latin typeface="Verdana" panose="020B0604030504040204" pitchFamily="34" charset="0"/>
              <a:ea typeface="Verdana" panose="020B0604030504040204" pitchFamily="34" charset="0"/>
              <a:cs typeface="Verdana" panose="020B0604030504040204" pitchFamily="34" charset="0"/>
            </a:rPr>
            <a:t> Student</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0.00482</cdr:x>
      <cdr:y>0.04885</cdr:y>
    </cdr:from>
    <cdr:to>
      <cdr:x>0.08915</cdr:x>
      <cdr:y>0.61668</cdr:y>
    </cdr:to>
    <cdr:sp macro="" textlink="">
      <cdr:nvSpPr>
        <cdr:cNvPr id="2" name="TextBox 1"/>
        <cdr:cNvSpPr txBox="1"/>
      </cdr:nvSpPr>
      <cdr:spPr>
        <a:xfrm xmlns:a="http://schemas.openxmlformats.org/drawingml/2006/main" rot="16200000">
          <a:off x="-478642" y="611993"/>
          <a:ext cx="1328741" cy="3333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a:t>
          </a:r>
          <a:r>
            <a:rPr lang="en-NZ" sz="800" b="1" baseline="0">
              <a:latin typeface="Verdana" panose="020B0604030504040204" pitchFamily="34" charset="0"/>
              <a:ea typeface="Verdana" panose="020B0604030504040204" pitchFamily="34" charset="0"/>
              <a:cs typeface="Verdana" panose="020B0604030504040204" pitchFamily="34" charset="0"/>
            </a:rPr>
            <a:t> of Schools</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0.00482</cdr:x>
      <cdr:y>0.04885</cdr:y>
    </cdr:from>
    <cdr:to>
      <cdr:x>0.08915</cdr:x>
      <cdr:y>0.61668</cdr:y>
    </cdr:to>
    <cdr:sp macro="" textlink="">
      <cdr:nvSpPr>
        <cdr:cNvPr id="2" name="TextBox 1"/>
        <cdr:cNvSpPr txBox="1"/>
      </cdr:nvSpPr>
      <cdr:spPr>
        <a:xfrm xmlns:a="http://schemas.openxmlformats.org/drawingml/2006/main" rot="16200000">
          <a:off x="-478642" y="611993"/>
          <a:ext cx="1328741" cy="3333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800" b="1">
              <a:latin typeface="Verdana" panose="020B0604030504040204" pitchFamily="34" charset="0"/>
              <a:ea typeface="Verdana" panose="020B0604030504040204" pitchFamily="34" charset="0"/>
              <a:cs typeface="Verdana" panose="020B0604030504040204" pitchFamily="34" charset="0"/>
            </a:rPr>
            <a:t>#</a:t>
          </a:r>
          <a:r>
            <a:rPr lang="en-NZ" sz="800" b="1" baseline="0">
              <a:latin typeface="Verdana" panose="020B0604030504040204" pitchFamily="34" charset="0"/>
              <a:ea typeface="Verdana" panose="020B0604030504040204" pitchFamily="34" charset="0"/>
              <a:cs typeface="Verdana" panose="020B0604030504040204" pitchFamily="34" charset="0"/>
            </a:rPr>
            <a:t> of Schools</a:t>
          </a:r>
          <a:endParaRPr lang="en-NZ" sz="800" b="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theme/theme1.xml><?xml version="1.0" encoding="utf-8"?>
<a:theme xmlns:a="http://schemas.openxmlformats.org/drawingml/2006/main" name="Office Theme">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8A3D2-4C84-46E7-B9E8-9C111A1EB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REPORT - portrait.dotx</Template>
  <TotalTime>0</TotalTime>
  <Pages>59</Pages>
  <Words>12174</Words>
  <Characters>69392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Proposal_A4</vt:lpstr>
    </vt:vector>
  </TitlesOfParts>
  <Company>Deloitte Touche Tohmatsu Services, Inc.</Company>
  <LinksUpToDate>false</LinksUpToDate>
  <CharactersWithSpaces>81404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Deloitte report on school expenditure and revenue</dc:title>
  <dc:creator>Deloitte for the Ministry of Education</dc:creator>
  <cp:lastModifiedBy>broadbentf</cp:lastModifiedBy>
  <cp:revision>5</cp:revision>
  <cp:lastPrinted>2016-10-04T02:59:00Z</cp:lastPrinted>
  <dcterms:created xsi:type="dcterms:W3CDTF">2016-11-27T20:21:00Z</dcterms:created>
  <dcterms:modified xsi:type="dcterms:W3CDTF">2016-11-27T21:25:00Z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