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17" w:rsidRDefault="00A163E8">
      <w:bookmarkStart w:id="0" w:name="_GoBack"/>
      <w:bookmarkEnd w:id="0"/>
      <w:r>
        <w:rPr>
          <w:noProof/>
          <w:lang w:val="en-NZ" w:eastAsia="en-NZ"/>
        </w:rPr>
        <w:drawing>
          <wp:anchor distT="0" distB="0" distL="114300" distR="114300" simplePos="0" relativeHeight="251660288" behindDoc="0" locked="0" layoutInCell="1" allowOverlap="1">
            <wp:simplePos x="0" y="0"/>
            <wp:positionH relativeFrom="column">
              <wp:posOffset>11934190</wp:posOffset>
            </wp:positionH>
            <wp:positionV relativeFrom="paragraph">
              <wp:posOffset>-1028700</wp:posOffset>
            </wp:positionV>
            <wp:extent cx="2143125" cy="1010027"/>
            <wp:effectExtent l="19050" t="19050" r="9525"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E Logo - Corporate (Black)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1010027"/>
                    </a:xfrm>
                    <a:prstGeom prst="rect">
                      <a:avLst/>
                    </a:prstGeom>
                    <a:ln>
                      <a:solidFill>
                        <a:schemeClr val="tx1"/>
                      </a:solidFill>
                      <a:prstDash val="solid"/>
                    </a:ln>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0" distB="0" distL="114300" distR="114300" simplePos="0" relativeHeight="251659264" behindDoc="0" locked="0" layoutInCell="1" allowOverlap="1">
                <wp:simplePos x="0" y="0"/>
                <wp:positionH relativeFrom="margin">
                  <wp:posOffset>4248150</wp:posOffset>
                </wp:positionH>
                <wp:positionV relativeFrom="paragraph">
                  <wp:posOffset>-1047750</wp:posOffset>
                </wp:positionV>
                <wp:extent cx="441960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196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C16" w:rsidRDefault="00D10C16" w:rsidP="00D10C16">
                            <w:pPr>
                              <w:jc w:val="center"/>
                              <w:rPr>
                                <w:rFonts w:asciiTheme="minorHAnsi" w:hAnsiTheme="minorHAnsi" w:cstheme="minorHAnsi"/>
                                <w:sz w:val="28"/>
                                <w:szCs w:val="28"/>
                                <w:lang w:val="en-NZ"/>
                              </w:rPr>
                            </w:pPr>
                            <w:r w:rsidRPr="00A657C0">
                              <w:rPr>
                                <w:rFonts w:asciiTheme="minorHAnsi" w:hAnsiTheme="minorHAnsi" w:cstheme="minorHAnsi"/>
                                <w:b/>
                                <w:sz w:val="32"/>
                                <w:szCs w:val="32"/>
                                <w:lang w:val="en-NZ"/>
                              </w:rPr>
                              <w:t>Peer review: Refining TLIF proposals</w:t>
                            </w:r>
                            <w:r w:rsidR="00A163E8">
                              <w:rPr>
                                <w:rFonts w:asciiTheme="minorHAnsi" w:hAnsiTheme="minorHAnsi" w:cstheme="minorHAnsi"/>
                                <w:sz w:val="28"/>
                                <w:szCs w:val="28"/>
                                <w:lang w:val="en-NZ"/>
                              </w:rPr>
                              <w:t xml:space="preserve"> </w:t>
                            </w:r>
                          </w:p>
                          <w:p w:rsidR="00A163E8" w:rsidRDefault="00A163E8" w:rsidP="00D10C16">
                            <w:pPr>
                              <w:jc w:val="center"/>
                              <w:rPr>
                                <w:rFonts w:asciiTheme="minorHAnsi" w:hAnsiTheme="minorHAnsi" w:cstheme="minorHAnsi"/>
                                <w:sz w:val="28"/>
                                <w:szCs w:val="28"/>
                                <w:lang w:val="en-NZ"/>
                              </w:rPr>
                            </w:pPr>
                          </w:p>
                          <w:p w:rsidR="00A163E8" w:rsidRDefault="00A163E8" w:rsidP="00D10C16">
                            <w:pPr>
                              <w:jc w:val="center"/>
                              <w:rPr>
                                <w:rFonts w:asciiTheme="minorHAnsi" w:hAnsiTheme="minorHAnsi" w:cstheme="minorHAnsi"/>
                                <w:sz w:val="28"/>
                                <w:szCs w:val="28"/>
                                <w:lang w:val="en-NZ"/>
                              </w:rPr>
                            </w:pPr>
                          </w:p>
                          <w:p w:rsidR="00F237CC" w:rsidRPr="00D10C16" w:rsidRDefault="00F237CC" w:rsidP="00D10C16">
                            <w:pPr>
                              <w:jc w:val="center"/>
                              <w:rPr>
                                <w:rFonts w:asciiTheme="minorHAnsi" w:hAnsiTheme="minorHAnsi" w:cstheme="minorHAnsi"/>
                                <w:sz w:val="28"/>
                                <w:szCs w:val="28"/>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4.5pt;margin-top:-82.5pt;width:348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" fillcolor="white [3201]" stroked="f" strokeweight=".5pt">
                <v:textbox>
                  <w:txbxContent>
                    <w:p w:rsidR="00D10C16" w:rsidRDefault="00D10C16" w:rsidP="00D10C16">
                      <w:pPr>
                        <w:jc w:val="center"/>
                        <w:rPr>
                          <w:rFonts w:asciiTheme="minorHAnsi" w:hAnsiTheme="minorHAnsi" w:cstheme="minorHAnsi"/>
                          <w:sz w:val="28"/>
                          <w:szCs w:val="28"/>
                          <w:lang w:val="en-NZ"/>
                        </w:rPr>
                      </w:pPr>
                      <w:r w:rsidRPr="00A657C0">
                        <w:rPr>
                          <w:rFonts w:asciiTheme="minorHAnsi" w:hAnsiTheme="minorHAnsi" w:cstheme="minorHAnsi"/>
                          <w:b/>
                          <w:sz w:val="32"/>
                          <w:szCs w:val="32"/>
                          <w:lang w:val="en-NZ"/>
                        </w:rPr>
                        <w:t>Peer review: Refining TLIF proposals</w:t>
                      </w:r>
                      <w:r w:rsidR="00A163E8">
                        <w:rPr>
                          <w:rFonts w:asciiTheme="minorHAnsi" w:hAnsiTheme="minorHAnsi" w:cstheme="minorHAnsi"/>
                          <w:sz w:val="28"/>
                          <w:szCs w:val="28"/>
                          <w:lang w:val="en-NZ"/>
                        </w:rPr>
                        <w:t xml:space="preserve"> </w:t>
                      </w:r>
                    </w:p>
                    <w:p w:rsidR="00A163E8" w:rsidRDefault="00A163E8" w:rsidP="00D10C16">
                      <w:pPr>
                        <w:jc w:val="center"/>
                        <w:rPr>
                          <w:rFonts w:asciiTheme="minorHAnsi" w:hAnsiTheme="minorHAnsi" w:cstheme="minorHAnsi"/>
                          <w:sz w:val="28"/>
                          <w:szCs w:val="28"/>
                          <w:lang w:val="en-NZ"/>
                        </w:rPr>
                      </w:pPr>
                    </w:p>
                    <w:p w:rsidR="00A163E8" w:rsidRDefault="00A163E8" w:rsidP="00D10C16">
                      <w:pPr>
                        <w:jc w:val="center"/>
                        <w:rPr>
                          <w:rFonts w:asciiTheme="minorHAnsi" w:hAnsiTheme="minorHAnsi" w:cstheme="minorHAnsi"/>
                          <w:sz w:val="28"/>
                          <w:szCs w:val="28"/>
                          <w:lang w:val="en-NZ"/>
                        </w:rPr>
                      </w:pPr>
                    </w:p>
                    <w:p w:rsidR="00F237CC" w:rsidRPr="00D10C16" w:rsidRDefault="00F237CC" w:rsidP="00D10C16">
                      <w:pPr>
                        <w:jc w:val="center"/>
                        <w:rPr>
                          <w:rFonts w:asciiTheme="minorHAnsi" w:hAnsiTheme="minorHAnsi" w:cstheme="minorHAnsi"/>
                          <w:sz w:val="28"/>
                          <w:szCs w:val="28"/>
                          <w:lang w:val="en-NZ"/>
                        </w:rPr>
                      </w:pPr>
                    </w:p>
                  </w:txbxContent>
                </v:textbox>
                <w10:wrap anchorx="margin"/>
              </v:shape>
            </w:pict>
          </mc:Fallback>
        </mc:AlternateContent>
      </w:r>
      <w:r w:rsidR="00D10C16">
        <w:rPr>
          <w:noProof/>
          <w:lang w:val="en-NZ" w:eastAsia="en-NZ"/>
        </w:rPr>
        <w:drawing>
          <wp:anchor distT="0" distB="0" distL="114300" distR="114300" simplePos="0" relativeHeight="251658240" behindDoc="1" locked="0" layoutInCell="1" allowOverlap="1">
            <wp:simplePos x="0" y="0"/>
            <wp:positionH relativeFrom="column">
              <wp:posOffset>87086</wp:posOffset>
            </wp:positionH>
            <wp:positionV relativeFrom="page">
              <wp:align>top</wp:align>
            </wp:positionV>
            <wp:extent cx="13212000" cy="9158400"/>
            <wp:effectExtent l="0" t="495300" r="27940" b="24130"/>
            <wp:wrapTight wrapText="bothSides">
              <wp:wrapPolygon edited="0">
                <wp:start x="4952" y="-1168"/>
                <wp:lineTo x="4952" y="-359"/>
                <wp:lineTo x="436" y="-359"/>
                <wp:lineTo x="436" y="359"/>
                <wp:lineTo x="31" y="359"/>
                <wp:lineTo x="0" y="1078"/>
                <wp:lineTo x="0" y="20489"/>
                <wp:lineTo x="374" y="21253"/>
                <wp:lineTo x="872" y="21612"/>
                <wp:lineTo x="903" y="21612"/>
                <wp:lineTo x="20711" y="21612"/>
                <wp:lineTo x="20742" y="21612"/>
                <wp:lineTo x="21241" y="21208"/>
                <wp:lineTo x="21272" y="21208"/>
                <wp:lineTo x="21615" y="20489"/>
                <wp:lineTo x="21615" y="359"/>
                <wp:lineTo x="21272" y="359"/>
                <wp:lineTo x="21272" y="-359"/>
                <wp:lineTo x="16631" y="-359"/>
                <wp:lineTo x="16631" y="-1078"/>
                <wp:lineTo x="5762" y="-1168"/>
                <wp:lineTo x="4952" y="-1168"/>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sectPr w:rsidR="00F05F17" w:rsidSect="00496C17">
      <w:pgSz w:w="23814" w:h="16839" w:orient="landscape" w:code="8"/>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17"/>
    <w:rsid w:val="00012E3C"/>
    <w:rsid w:val="00027FC5"/>
    <w:rsid w:val="00030E8F"/>
    <w:rsid w:val="00100CC1"/>
    <w:rsid w:val="00107705"/>
    <w:rsid w:val="0016202D"/>
    <w:rsid w:val="0027584E"/>
    <w:rsid w:val="002C24C3"/>
    <w:rsid w:val="0041621B"/>
    <w:rsid w:val="00496C17"/>
    <w:rsid w:val="004E6EB6"/>
    <w:rsid w:val="0059589E"/>
    <w:rsid w:val="006B0181"/>
    <w:rsid w:val="00724E3D"/>
    <w:rsid w:val="00770249"/>
    <w:rsid w:val="00811CD5"/>
    <w:rsid w:val="008719C0"/>
    <w:rsid w:val="00930BF8"/>
    <w:rsid w:val="009314F8"/>
    <w:rsid w:val="00A163E8"/>
    <w:rsid w:val="00A657C0"/>
    <w:rsid w:val="00B86784"/>
    <w:rsid w:val="00C44041"/>
    <w:rsid w:val="00C678D2"/>
    <w:rsid w:val="00C94F2A"/>
    <w:rsid w:val="00D10C16"/>
    <w:rsid w:val="00D453D2"/>
    <w:rsid w:val="00E75CAD"/>
    <w:rsid w:val="00F05F17"/>
    <w:rsid w:val="00F11EEF"/>
    <w:rsid w:val="00F237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3C9582-DB73-450B-8627-4349BD05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1B9FFE-59EE-4E70-B520-EF9B32040946}" type="doc">
      <dgm:prSet loTypeId="urn:microsoft.com/office/officeart/2005/8/layout/matrix1" loCatId="matrix" qsTypeId="urn:microsoft.com/office/officeart/2005/8/quickstyle/simple1" qsCatId="simple" csTypeId="urn:microsoft.com/office/officeart/2005/8/colors/accent5_4" csCatId="accent5" phldr="1"/>
      <dgm:spPr/>
      <dgm:t>
        <a:bodyPr/>
        <a:lstStyle/>
        <a:p>
          <a:endParaRPr lang="en-NZ"/>
        </a:p>
      </dgm:t>
    </dgm:pt>
    <dgm:pt modelId="{205FED68-C12D-44D4-B475-B1AD245B3C00}">
      <dgm:prSet phldrT="[Text]" custT="1"/>
      <dgm:spPr/>
      <dgm:t>
        <a:bodyPr/>
        <a:lstStyle/>
        <a:p>
          <a:pPr algn="ctr"/>
          <a:r>
            <a:rPr lang="en-NZ" sz="1400" b="1"/>
            <a:t>Part A </a:t>
          </a:r>
        </a:p>
        <a:p>
          <a:pPr algn="ctr"/>
          <a:r>
            <a:rPr lang="en-NZ" sz="1400" b="1"/>
            <a:t>The Innovation</a:t>
          </a:r>
        </a:p>
        <a:p>
          <a:pPr algn="ctr"/>
          <a:r>
            <a:rPr lang="en-NZ" sz="1400" b="1"/>
            <a:t>Use the prompts on the proposal/TLIF Guide</a:t>
          </a:r>
        </a:p>
        <a:p>
          <a:pPr algn="l"/>
          <a:r>
            <a:rPr lang="en-NZ" sz="1200"/>
            <a:t>The way you frame your innovation and inquiry is important to the panel.                                                                                                                                                                                               1. Avoid deficit statements about learners and whānau  - focus on </a:t>
          </a:r>
          <a:r>
            <a:rPr lang="en-NZ" sz="1200" b="1"/>
            <a:t>new </a:t>
          </a:r>
          <a:r>
            <a:rPr lang="en-NZ" sz="1200"/>
            <a:t>practices that teachers will explore. </a:t>
          </a:r>
        </a:p>
        <a:p>
          <a:pPr algn="l"/>
          <a:r>
            <a:rPr lang="en-NZ" sz="1200"/>
            <a:t>2.  Local curriculum development is about the "what" and the "how," so teacher practices are a central to any inquiry.</a:t>
          </a:r>
        </a:p>
        <a:p>
          <a:pPr algn="l"/>
          <a:r>
            <a:rPr lang="en-NZ" sz="1200"/>
            <a:t>3.  PLD and the TLIF are different - the fund targets those teachers  who can guide their own inquiry, who already have a clear idea of where they might innovate on their practice.                        </a:t>
          </a:r>
        </a:p>
      </dgm:t>
    </dgm:pt>
    <dgm:pt modelId="{2CCB9C0C-8652-4D98-8885-151158F9528B}" type="parTrans" cxnId="{D1E24D27-E805-4B5F-9268-59E7DFA74712}">
      <dgm:prSet/>
      <dgm:spPr/>
      <dgm:t>
        <a:bodyPr/>
        <a:lstStyle/>
        <a:p>
          <a:endParaRPr lang="en-NZ"/>
        </a:p>
      </dgm:t>
    </dgm:pt>
    <dgm:pt modelId="{4C61210D-7C6E-4A89-BFE5-E6DE80E2B4C3}" type="sibTrans" cxnId="{D1E24D27-E805-4B5F-9268-59E7DFA74712}">
      <dgm:prSet/>
      <dgm:spPr/>
      <dgm:t>
        <a:bodyPr/>
        <a:lstStyle/>
        <a:p>
          <a:endParaRPr lang="en-NZ"/>
        </a:p>
      </dgm:t>
    </dgm:pt>
    <dgm:pt modelId="{9B708AB0-4AE6-43D1-BF2A-35E2DEF5C8EE}">
      <dgm:prSet phldrT="[Text]" custT="1"/>
      <dgm:spPr/>
      <dgm:t>
        <a:bodyPr/>
        <a:lstStyle/>
        <a:p>
          <a:pPr algn="ctr"/>
          <a:r>
            <a:rPr lang="en-NZ" sz="1400" b="1"/>
            <a:t>Part B </a:t>
          </a:r>
        </a:p>
        <a:p>
          <a:pPr algn="ctr"/>
          <a:endParaRPr lang="en-NZ" sz="1400" b="1"/>
        </a:p>
        <a:p>
          <a:pPr algn="ctr"/>
          <a:endParaRPr lang="en-NZ" sz="1400" b="1"/>
        </a:p>
        <a:p>
          <a:pPr algn="ctr"/>
          <a:r>
            <a:rPr lang="en-NZ" sz="1400" b="1"/>
            <a:t>Collaborative Inquiry and practices   </a:t>
          </a:r>
        </a:p>
        <a:p>
          <a:pPr algn="ctr"/>
          <a:r>
            <a:rPr lang="en-NZ" sz="1400" b="1"/>
            <a:t>Use the prompts on the proposal /and TLIF Guide                                            </a:t>
          </a:r>
        </a:p>
        <a:p>
          <a:pPr algn="l"/>
          <a:r>
            <a:rPr lang="en-NZ" sz="1200" b="0"/>
            <a:t>The TLIF panel  reports have noticed that many proposals promote individual inquiries around a common theme rather than collectively designing and implementing an inquiry together. The panel will look for :</a:t>
          </a:r>
        </a:p>
        <a:p>
          <a:pPr algn="l"/>
          <a:r>
            <a:rPr lang="en-NZ" sz="1200" b="0"/>
            <a:t>1. How the teachers will design their </a:t>
          </a:r>
          <a:r>
            <a:rPr lang="en-NZ" sz="1200" b="1"/>
            <a:t>joint inquiry.</a:t>
          </a:r>
        </a:p>
        <a:p>
          <a:pPr algn="l"/>
          <a:r>
            <a:rPr lang="en-NZ" sz="1200" b="0"/>
            <a:t>2. How teachers will </a:t>
          </a:r>
          <a:r>
            <a:rPr lang="en-NZ" sz="1200" b="1"/>
            <a:t>collaborate regularly </a:t>
          </a:r>
          <a:r>
            <a:rPr lang="en-NZ" sz="1200" b="0"/>
            <a:t>about the practices they are innovating, the ways they will  notice responses of their  learners, how they  will use common tools to support their analysis of these responses.</a:t>
          </a:r>
        </a:p>
        <a:p>
          <a:pPr algn="l"/>
          <a:r>
            <a:rPr lang="en-NZ" sz="1200" b="0"/>
            <a:t>3. How the </a:t>
          </a:r>
          <a:r>
            <a:rPr lang="en-NZ" sz="1200" b="1"/>
            <a:t>collaboration discussions </a:t>
          </a:r>
          <a:r>
            <a:rPr lang="en-NZ" sz="1200" b="0"/>
            <a:t>will promote challenging conversations between teachers.</a:t>
          </a:r>
        </a:p>
        <a:p>
          <a:pPr algn="l"/>
          <a:r>
            <a:rPr lang="en-NZ" sz="1200" b="0"/>
            <a:t>4. The </a:t>
          </a:r>
          <a:r>
            <a:rPr lang="en-NZ" sz="1200" b="1"/>
            <a:t>scale of the collaboration </a:t>
          </a:r>
          <a:r>
            <a:rPr lang="en-NZ" sz="1200" b="0"/>
            <a:t>- this will be different from a large PLD response. It will be a small group of teachers who can lead the design of the innovation, use common tools,  trial and monitor new practices, collectively undertake the analysis of data and make decisions about what to change next. </a:t>
          </a:r>
        </a:p>
        <a:p>
          <a:pPr algn="l"/>
          <a:r>
            <a:rPr lang="en-NZ" sz="1200" b="0"/>
            <a:t>5. Who is </a:t>
          </a:r>
          <a:r>
            <a:rPr lang="en-NZ" sz="1200" b="1"/>
            <a:t>genuinely leading the work </a:t>
          </a:r>
          <a:r>
            <a:rPr lang="en-NZ" sz="1200" b="0"/>
            <a:t>- any expert support should not do any of the tasks above independently of the inquiry team. </a:t>
          </a:r>
        </a:p>
        <a:p>
          <a:pPr algn="l"/>
          <a:r>
            <a:rPr lang="en-NZ" sz="1200" b="0"/>
            <a:t>NB. If your focus is on local curriculum design, you may want to use the </a:t>
          </a:r>
          <a:r>
            <a:rPr lang="en-NZ" sz="1200" b="1"/>
            <a:t>collaborative inquiry tool </a:t>
          </a:r>
          <a:r>
            <a:rPr lang="en-NZ" sz="1200" b="0"/>
            <a:t>in the Local Curriculum Design Toolkit|Rapua Te AraTika to plan your actions. The panel will look for how the tool will help you innovate on teacher practices.</a:t>
          </a:r>
        </a:p>
      </dgm:t>
    </dgm:pt>
    <dgm:pt modelId="{33549536-1391-4274-A5C6-C582D0802F58}" type="parTrans" cxnId="{C2BBD83D-38EE-4B3A-959B-E68BD41D4F40}">
      <dgm:prSet/>
      <dgm:spPr/>
      <dgm:t>
        <a:bodyPr/>
        <a:lstStyle/>
        <a:p>
          <a:endParaRPr lang="en-NZ"/>
        </a:p>
      </dgm:t>
    </dgm:pt>
    <dgm:pt modelId="{575EC4DC-DCF5-4CE1-9A70-4FD4ECD6290E}" type="sibTrans" cxnId="{C2BBD83D-38EE-4B3A-959B-E68BD41D4F40}">
      <dgm:prSet/>
      <dgm:spPr/>
      <dgm:t>
        <a:bodyPr/>
        <a:lstStyle/>
        <a:p>
          <a:endParaRPr lang="en-NZ"/>
        </a:p>
      </dgm:t>
    </dgm:pt>
    <dgm:pt modelId="{FC2B42DF-F716-40E2-B8B0-ED1A2BEEE3C8}">
      <dgm:prSet phldrT="[Text]" custT="1"/>
      <dgm:spPr/>
      <dgm:t>
        <a:bodyPr/>
        <a:lstStyle/>
        <a:p>
          <a:pPr algn="ctr"/>
          <a:r>
            <a:rPr lang="en-NZ" sz="1400" b="1"/>
            <a:t>Part C</a:t>
          </a:r>
        </a:p>
        <a:p>
          <a:pPr algn="ctr"/>
          <a:endParaRPr lang="en-NZ" sz="1400" b="1"/>
        </a:p>
        <a:p>
          <a:pPr algn="ctr"/>
          <a:endParaRPr lang="en-NZ" sz="1400" b="1"/>
        </a:p>
        <a:p>
          <a:pPr algn="ctr"/>
          <a:r>
            <a:rPr lang="en-NZ" sz="1400" b="1"/>
            <a:t>Initial Planning and Implementation</a:t>
          </a:r>
        </a:p>
        <a:p>
          <a:pPr algn="ctr"/>
          <a:r>
            <a:rPr lang="en-NZ" sz="1400" b="1"/>
            <a:t>Use the prompts on the proposal/and TLIF Guide</a:t>
          </a:r>
        </a:p>
        <a:p>
          <a:pPr algn="l"/>
          <a:r>
            <a:rPr lang="en-NZ" sz="1200" b="0"/>
            <a:t>Planning is about the "what "and "how" of the inquiry. The chart also includes an estimate of costs of the planned activities to help the budget process. The panel looks for:</a:t>
          </a:r>
        </a:p>
        <a:p>
          <a:pPr algn="l"/>
          <a:r>
            <a:rPr lang="en-NZ" sz="1200" b="0"/>
            <a:t>1.  An </a:t>
          </a:r>
          <a:r>
            <a:rPr lang="en-NZ" sz="1200" b="1"/>
            <a:t>inquiry cycle model </a:t>
          </a:r>
          <a:r>
            <a:rPr lang="en-NZ" sz="1200" b="0"/>
            <a:t>that frames the actions you will be taking for the teacher inquiry - there are many excellent models available, so the choice is yours.  </a:t>
          </a:r>
          <a:endParaRPr lang="en-NZ" sz="1200" b="0" i="1"/>
        </a:p>
        <a:p>
          <a:pPr algn="l"/>
          <a:r>
            <a:rPr lang="en-NZ" sz="1200" b="0" i="0"/>
            <a:t>2. The </a:t>
          </a:r>
          <a:r>
            <a:rPr lang="en-NZ" sz="1200" b="1" i="0"/>
            <a:t>cycles of inquiry </a:t>
          </a:r>
          <a:r>
            <a:rPr lang="en-NZ" sz="1200" b="0" i="0"/>
            <a:t>in your plan - it is more effective to innovate practice in deliberate steps.</a:t>
          </a:r>
        </a:p>
        <a:p>
          <a:pPr algn="l"/>
          <a:r>
            <a:rPr lang="en-NZ" sz="1200" b="0" i="0"/>
            <a:t>3. The range of tools to notice shifts in teacher practices and learners outcomes (their learning behaviours, capabilities, competencies and learning /achievement outcomes).</a:t>
          </a:r>
        </a:p>
        <a:p>
          <a:pPr algn="l"/>
          <a:r>
            <a:rPr lang="en-NZ" sz="1200" b="0"/>
            <a:t>NB. If your focus is on local curriculum design, you may want to use the </a:t>
          </a:r>
          <a:r>
            <a:rPr lang="en-NZ" sz="1200" b="1"/>
            <a:t>collaborative inquiry, </a:t>
          </a:r>
          <a:r>
            <a:rPr lang="en-NZ" sz="1200" b="0"/>
            <a:t> </a:t>
          </a:r>
          <a:r>
            <a:rPr lang="en-NZ" sz="1200" b="1"/>
            <a:t>rich opportunities for learning, relationships for learning and coherent pathways tools </a:t>
          </a:r>
          <a:r>
            <a:rPr lang="en-NZ" sz="1200" b="0"/>
            <a:t>in the Local Curriculum Design Toolkit|Rapua Te AraTika to plan your actions.</a:t>
          </a:r>
        </a:p>
        <a:p>
          <a:pPr algn="l"/>
          <a:r>
            <a:rPr lang="en-NZ" sz="1200" b="0"/>
            <a:t> </a:t>
          </a:r>
          <a:endParaRPr lang="en-NZ" sz="1100" b="0"/>
        </a:p>
        <a:p>
          <a:pPr algn="ctr"/>
          <a:endParaRPr lang="en-NZ" sz="1400" b="1"/>
        </a:p>
        <a:p>
          <a:pPr algn="l"/>
          <a:endParaRPr lang="en-NZ" sz="1400" b="1"/>
        </a:p>
      </dgm:t>
    </dgm:pt>
    <dgm:pt modelId="{261D90D7-8EA1-47EA-ACDB-020FA47FAC3D}" type="parTrans" cxnId="{DB3392CD-064E-4E12-B54B-E2D4A90C3EC0}">
      <dgm:prSet/>
      <dgm:spPr/>
      <dgm:t>
        <a:bodyPr/>
        <a:lstStyle/>
        <a:p>
          <a:endParaRPr lang="en-NZ"/>
        </a:p>
      </dgm:t>
    </dgm:pt>
    <dgm:pt modelId="{162ECBF9-9B2D-479F-96A3-9418186425A9}" type="sibTrans" cxnId="{DB3392CD-064E-4E12-B54B-E2D4A90C3EC0}">
      <dgm:prSet/>
      <dgm:spPr/>
      <dgm:t>
        <a:bodyPr/>
        <a:lstStyle/>
        <a:p>
          <a:endParaRPr lang="en-NZ"/>
        </a:p>
      </dgm:t>
    </dgm:pt>
    <dgm:pt modelId="{C67AE1D5-3C3D-4C12-8A6F-FC52266DA4CA}">
      <dgm:prSet phldrT="[Text]" custT="1"/>
      <dgm:spPr/>
      <dgm:t>
        <a:bodyPr/>
        <a:lstStyle/>
        <a:p>
          <a:pPr algn="ctr"/>
          <a:r>
            <a:rPr lang="en-NZ" sz="1400" b="1"/>
            <a:t>Part E </a:t>
          </a:r>
        </a:p>
        <a:p>
          <a:pPr algn="ctr"/>
          <a:r>
            <a:rPr lang="en-NZ" sz="1400" b="1"/>
            <a:t>Timelines and funding</a:t>
          </a:r>
        </a:p>
        <a:p>
          <a:pPr algn="ctr"/>
          <a:r>
            <a:rPr lang="en-NZ" sz="1400" b="1"/>
            <a:t>Use the prompts on the proposal/and TLIF Guide</a:t>
          </a:r>
        </a:p>
        <a:p>
          <a:pPr algn="l"/>
          <a:r>
            <a:rPr lang="en-NZ" sz="1200" b="0"/>
            <a:t>The panel does consider the scope and scale of your inquiry in relation to the  funding you are seeking.  They have capped the funding because the TLIF projects must finish in June 2020. The panel will support you directly </a:t>
          </a:r>
          <a:r>
            <a:rPr lang="en-NZ" sz="1200" b="1"/>
            <a:t>after selection </a:t>
          </a:r>
          <a:r>
            <a:rPr lang="en-NZ" sz="1200" b="0"/>
            <a:t>to align any panel feedback you have received and a more detailed action plan - so these costs are included in the budget. The panel will look for:</a:t>
          </a:r>
        </a:p>
        <a:p>
          <a:pPr algn="l"/>
          <a:r>
            <a:rPr lang="en-NZ" sz="1200" b="0"/>
            <a:t>1. How the costs indicated in Part C align with the funding chart in this section.</a:t>
          </a:r>
        </a:p>
        <a:p>
          <a:pPr algn="l"/>
          <a:r>
            <a:rPr lang="en-NZ" sz="1200" b="0"/>
            <a:t>2. The proportion of funding for teachers in relation to the expert/specialist supports - this gives the panel an indication of who is genuinely leading the inquiry. </a:t>
          </a:r>
        </a:p>
      </dgm:t>
    </dgm:pt>
    <dgm:pt modelId="{F61AAC0B-256B-4234-9402-9B9A9B8D0A08}" type="parTrans" cxnId="{41CF34C2-8CFC-4403-84BF-8452E07AEBEE}">
      <dgm:prSet/>
      <dgm:spPr/>
      <dgm:t>
        <a:bodyPr/>
        <a:lstStyle/>
        <a:p>
          <a:endParaRPr lang="en-NZ"/>
        </a:p>
      </dgm:t>
    </dgm:pt>
    <dgm:pt modelId="{BECB0664-785D-41C8-9185-9BAEC985A5DA}" type="sibTrans" cxnId="{41CF34C2-8CFC-4403-84BF-8452E07AEBEE}">
      <dgm:prSet/>
      <dgm:spPr/>
      <dgm:t>
        <a:bodyPr/>
        <a:lstStyle/>
        <a:p>
          <a:endParaRPr lang="en-NZ"/>
        </a:p>
      </dgm:t>
    </dgm:pt>
    <dgm:pt modelId="{2E181A04-8459-4C43-9E63-EA424E485DE9}">
      <dgm:prSet phldrT="[Text]" custT="1"/>
      <dgm:spPr/>
      <dgm:t>
        <a:bodyPr/>
        <a:lstStyle/>
        <a:p>
          <a:pPr algn="ctr"/>
          <a:r>
            <a:rPr lang="en-NZ" sz="1400" b="1"/>
            <a:t>Part D</a:t>
          </a:r>
        </a:p>
        <a:p>
          <a:pPr algn="ctr"/>
          <a:r>
            <a:rPr lang="en-NZ" sz="1400" b="1"/>
            <a:t>Impact of the project</a:t>
          </a:r>
        </a:p>
        <a:p>
          <a:pPr algn="ctr"/>
          <a:r>
            <a:rPr lang="en-NZ" sz="1400" b="1"/>
            <a:t>Use the prompts on the proposal/and TLIF Guide</a:t>
          </a:r>
        </a:p>
        <a:p>
          <a:pPr algn="l"/>
          <a:r>
            <a:rPr lang="en-NZ" sz="1200" b="0"/>
            <a:t>The panel and TLIF evaluation has reported that evaluating impact is the biggest issue facing the TLIF teams, particularly managing the process of gathering, analysing and interpreting data for the next steps in their practice.  The panel will look for:</a:t>
          </a:r>
        </a:p>
        <a:p>
          <a:pPr algn="l"/>
          <a:r>
            <a:rPr lang="en-NZ" sz="1200" b="0"/>
            <a:t>1.  The ways that </a:t>
          </a:r>
          <a:r>
            <a:rPr lang="en-NZ" sz="1200" b="1"/>
            <a:t>shifts in teacher practices will be tracked over time</a:t>
          </a:r>
          <a:r>
            <a:rPr lang="en-NZ" sz="1200" b="0"/>
            <a:t>. Indicate what tools you might devise or use for this, how you might involve learner voice in the tracking of the shifts. Are learners noticing teachers doing something different? Are they clearer about what and how they are learning? </a:t>
          </a:r>
        </a:p>
        <a:p>
          <a:pPr algn="l"/>
          <a:r>
            <a:rPr lang="en-NZ" sz="1200" b="0"/>
            <a:t>2. How you </a:t>
          </a:r>
          <a:r>
            <a:rPr lang="en-NZ" sz="1200" b="1"/>
            <a:t>use this data in the collaborative discussions </a:t>
          </a:r>
          <a:r>
            <a:rPr lang="en-NZ" sz="1200" b="0"/>
            <a:t>to think about next iteration of the practice, or doing something differently if it is not working.</a:t>
          </a:r>
        </a:p>
        <a:p>
          <a:pPr algn="ctr"/>
          <a:endParaRPr lang="en-NZ" sz="1400"/>
        </a:p>
      </dgm:t>
    </dgm:pt>
    <dgm:pt modelId="{7A4AD0B0-CF7F-4275-9F9A-BF1A1085D23A}" type="parTrans" cxnId="{9AB2942A-8D57-4DF5-B600-856F1BDB91EA}">
      <dgm:prSet/>
      <dgm:spPr/>
      <dgm:t>
        <a:bodyPr/>
        <a:lstStyle/>
        <a:p>
          <a:endParaRPr lang="en-NZ"/>
        </a:p>
      </dgm:t>
    </dgm:pt>
    <dgm:pt modelId="{C3DEC9E8-DD08-41BB-B7D6-F6DBD98B1C07}" type="sibTrans" cxnId="{9AB2942A-8D57-4DF5-B600-856F1BDB91EA}">
      <dgm:prSet/>
      <dgm:spPr/>
      <dgm:t>
        <a:bodyPr/>
        <a:lstStyle/>
        <a:p>
          <a:endParaRPr lang="en-NZ"/>
        </a:p>
      </dgm:t>
    </dgm:pt>
    <dgm:pt modelId="{23BCF434-1E5F-42D7-8E17-F269A21776A9}" type="pres">
      <dgm:prSet presAssocID="{B51B9FFE-59EE-4E70-B520-EF9B32040946}" presName="diagram" presStyleCnt="0">
        <dgm:presLayoutVars>
          <dgm:chMax val="1"/>
          <dgm:dir/>
          <dgm:animLvl val="ctr"/>
          <dgm:resizeHandles val="exact"/>
        </dgm:presLayoutVars>
      </dgm:prSet>
      <dgm:spPr/>
      <dgm:t>
        <a:bodyPr/>
        <a:lstStyle/>
        <a:p>
          <a:endParaRPr lang="en-NZ"/>
        </a:p>
      </dgm:t>
    </dgm:pt>
    <dgm:pt modelId="{C71F52C1-FDFA-4641-A656-2E7D342549CB}" type="pres">
      <dgm:prSet presAssocID="{B51B9FFE-59EE-4E70-B520-EF9B32040946}" presName="matrix" presStyleCnt="0"/>
      <dgm:spPr/>
    </dgm:pt>
    <dgm:pt modelId="{45678099-A6F6-454C-A82B-A265B5D81EB4}" type="pres">
      <dgm:prSet presAssocID="{B51B9FFE-59EE-4E70-B520-EF9B32040946}" presName="tile1" presStyleLbl="node1" presStyleIdx="0" presStyleCnt="4" custScaleY="99445"/>
      <dgm:spPr/>
      <dgm:t>
        <a:bodyPr/>
        <a:lstStyle/>
        <a:p>
          <a:endParaRPr lang="en-NZ"/>
        </a:p>
      </dgm:t>
    </dgm:pt>
    <dgm:pt modelId="{69DEC052-6E97-4C38-82F0-429B57EB563C}" type="pres">
      <dgm:prSet presAssocID="{B51B9FFE-59EE-4E70-B520-EF9B32040946}" presName="tile1text" presStyleLbl="node1" presStyleIdx="0" presStyleCnt="4">
        <dgm:presLayoutVars>
          <dgm:chMax val="0"/>
          <dgm:chPref val="0"/>
          <dgm:bulletEnabled val="1"/>
        </dgm:presLayoutVars>
      </dgm:prSet>
      <dgm:spPr/>
      <dgm:t>
        <a:bodyPr/>
        <a:lstStyle/>
        <a:p>
          <a:endParaRPr lang="en-NZ"/>
        </a:p>
      </dgm:t>
    </dgm:pt>
    <dgm:pt modelId="{86DE35F7-DA71-45CE-9340-CB72BA367826}" type="pres">
      <dgm:prSet presAssocID="{B51B9FFE-59EE-4E70-B520-EF9B32040946}" presName="tile2" presStyleLbl="node1" presStyleIdx="1" presStyleCnt="4"/>
      <dgm:spPr/>
      <dgm:t>
        <a:bodyPr/>
        <a:lstStyle/>
        <a:p>
          <a:endParaRPr lang="en-NZ"/>
        </a:p>
      </dgm:t>
    </dgm:pt>
    <dgm:pt modelId="{C8109B37-AB4A-4C48-BE7D-11D1E0F4797B}" type="pres">
      <dgm:prSet presAssocID="{B51B9FFE-59EE-4E70-B520-EF9B32040946}" presName="tile2text" presStyleLbl="node1" presStyleIdx="1" presStyleCnt="4">
        <dgm:presLayoutVars>
          <dgm:chMax val="0"/>
          <dgm:chPref val="0"/>
          <dgm:bulletEnabled val="1"/>
        </dgm:presLayoutVars>
      </dgm:prSet>
      <dgm:spPr/>
      <dgm:t>
        <a:bodyPr/>
        <a:lstStyle/>
        <a:p>
          <a:endParaRPr lang="en-NZ"/>
        </a:p>
      </dgm:t>
    </dgm:pt>
    <dgm:pt modelId="{E134DC3B-CDFC-434D-B808-19B5E4DF639C}" type="pres">
      <dgm:prSet presAssocID="{B51B9FFE-59EE-4E70-B520-EF9B32040946}" presName="tile3" presStyleLbl="node1" presStyleIdx="2" presStyleCnt="4"/>
      <dgm:spPr/>
      <dgm:t>
        <a:bodyPr/>
        <a:lstStyle/>
        <a:p>
          <a:endParaRPr lang="en-NZ"/>
        </a:p>
      </dgm:t>
    </dgm:pt>
    <dgm:pt modelId="{FA6FFFF4-C9B1-45D1-AD47-98716549DD0E}" type="pres">
      <dgm:prSet presAssocID="{B51B9FFE-59EE-4E70-B520-EF9B32040946}" presName="tile3text" presStyleLbl="node1" presStyleIdx="2" presStyleCnt="4">
        <dgm:presLayoutVars>
          <dgm:chMax val="0"/>
          <dgm:chPref val="0"/>
          <dgm:bulletEnabled val="1"/>
        </dgm:presLayoutVars>
      </dgm:prSet>
      <dgm:spPr/>
      <dgm:t>
        <a:bodyPr/>
        <a:lstStyle/>
        <a:p>
          <a:endParaRPr lang="en-NZ"/>
        </a:p>
      </dgm:t>
    </dgm:pt>
    <dgm:pt modelId="{8B2F327A-D77C-48FD-ACE3-F3CD6E50CA90}" type="pres">
      <dgm:prSet presAssocID="{B51B9FFE-59EE-4E70-B520-EF9B32040946}" presName="tile4" presStyleLbl="node1" presStyleIdx="3" presStyleCnt="4"/>
      <dgm:spPr/>
      <dgm:t>
        <a:bodyPr/>
        <a:lstStyle/>
        <a:p>
          <a:endParaRPr lang="en-NZ"/>
        </a:p>
      </dgm:t>
    </dgm:pt>
    <dgm:pt modelId="{EBA8A7A7-1F4F-481A-8E3A-8BF113C434CE}" type="pres">
      <dgm:prSet presAssocID="{B51B9FFE-59EE-4E70-B520-EF9B32040946}" presName="tile4text" presStyleLbl="node1" presStyleIdx="3" presStyleCnt="4">
        <dgm:presLayoutVars>
          <dgm:chMax val="0"/>
          <dgm:chPref val="0"/>
          <dgm:bulletEnabled val="1"/>
        </dgm:presLayoutVars>
      </dgm:prSet>
      <dgm:spPr/>
      <dgm:t>
        <a:bodyPr/>
        <a:lstStyle/>
        <a:p>
          <a:endParaRPr lang="en-NZ"/>
        </a:p>
      </dgm:t>
    </dgm:pt>
    <dgm:pt modelId="{F037DB92-D629-4A17-A9C0-59EA7E88365A}" type="pres">
      <dgm:prSet presAssocID="{B51B9FFE-59EE-4E70-B520-EF9B32040946}" presName="centerTile" presStyleLbl="fgShp" presStyleIdx="0" presStyleCnt="1" custScaleX="289519" custScaleY="78383" custLinFactNeighborX="2050" custLinFactNeighborY="28843">
        <dgm:presLayoutVars>
          <dgm:chMax val="0"/>
          <dgm:chPref val="0"/>
        </dgm:presLayoutVars>
      </dgm:prSet>
      <dgm:spPr/>
      <dgm:t>
        <a:bodyPr/>
        <a:lstStyle/>
        <a:p>
          <a:endParaRPr lang="en-NZ"/>
        </a:p>
      </dgm:t>
    </dgm:pt>
  </dgm:ptLst>
  <dgm:cxnLst>
    <dgm:cxn modelId="{8AEF6EC4-B015-40C6-8FC2-2F762D63F3E1}" type="presOf" srcId="{C67AE1D5-3C3D-4C12-8A6F-FC52266DA4CA}" destId="{FA6FFFF4-C9B1-45D1-AD47-98716549DD0E}" srcOrd="1" destOrd="0" presId="urn:microsoft.com/office/officeart/2005/8/layout/matrix1"/>
    <dgm:cxn modelId="{9AB2942A-8D57-4DF5-B600-856F1BDB91EA}" srcId="{205FED68-C12D-44D4-B475-B1AD245B3C00}" destId="{2E181A04-8459-4C43-9E63-EA424E485DE9}" srcOrd="3" destOrd="0" parTransId="{7A4AD0B0-CF7F-4275-9F9A-BF1A1085D23A}" sibTransId="{C3DEC9E8-DD08-41BB-B7D6-F6DBD98B1C07}"/>
    <dgm:cxn modelId="{6032D307-50BD-48A1-BC73-D979CD4462D4}" type="presOf" srcId="{FC2B42DF-F716-40E2-B8B0-ED1A2BEEE3C8}" destId="{86DE35F7-DA71-45CE-9340-CB72BA367826}" srcOrd="0" destOrd="0" presId="urn:microsoft.com/office/officeart/2005/8/layout/matrix1"/>
    <dgm:cxn modelId="{0F89ED0A-3C81-4891-BC0E-267AC338C239}" type="presOf" srcId="{205FED68-C12D-44D4-B475-B1AD245B3C00}" destId="{F037DB92-D629-4A17-A9C0-59EA7E88365A}" srcOrd="0" destOrd="0" presId="urn:microsoft.com/office/officeart/2005/8/layout/matrix1"/>
    <dgm:cxn modelId="{41CF34C2-8CFC-4403-84BF-8452E07AEBEE}" srcId="{205FED68-C12D-44D4-B475-B1AD245B3C00}" destId="{C67AE1D5-3C3D-4C12-8A6F-FC52266DA4CA}" srcOrd="2" destOrd="0" parTransId="{F61AAC0B-256B-4234-9402-9B9A9B8D0A08}" sibTransId="{BECB0664-785D-41C8-9185-9BAEC985A5DA}"/>
    <dgm:cxn modelId="{A0599D08-362D-44AD-94D5-BEE85AB5DABC}" type="presOf" srcId="{2E181A04-8459-4C43-9E63-EA424E485DE9}" destId="{8B2F327A-D77C-48FD-ACE3-F3CD6E50CA90}" srcOrd="0" destOrd="0" presId="urn:microsoft.com/office/officeart/2005/8/layout/matrix1"/>
    <dgm:cxn modelId="{4337C350-ADD9-4C85-8725-29883A3599DF}" type="presOf" srcId="{C67AE1D5-3C3D-4C12-8A6F-FC52266DA4CA}" destId="{E134DC3B-CDFC-434D-B808-19B5E4DF639C}" srcOrd="0" destOrd="0" presId="urn:microsoft.com/office/officeart/2005/8/layout/matrix1"/>
    <dgm:cxn modelId="{D1E24D27-E805-4B5F-9268-59E7DFA74712}" srcId="{B51B9FFE-59EE-4E70-B520-EF9B32040946}" destId="{205FED68-C12D-44D4-B475-B1AD245B3C00}" srcOrd="0" destOrd="0" parTransId="{2CCB9C0C-8652-4D98-8885-151158F9528B}" sibTransId="{4C61210D-7C6E-4A89-BFE5-E6DE80E2B4C3}"/>
    <dgm:cxn modelId="{96C3925E-D60B-4A72-A86B-1DD1A1E8D6D4}" type="presOf" srcId="{B51B9FFE-59EE-4E70-B520-EF9B32040946}" destId="{23BCF434-1E5F-42D7-8E17-F269A21776A9}" srcOrd="0" destOrd="0" presId="urn:microsoft.com/office/officeart/2005/8/layout/matrix1"/>
    <dgm:cxn modelId="{C2BBD83D-38EE-4B3A-959B-E68BD41D4F40}" srcId="{205FED68-C12D-44D4-B475-B1AD245B3C00}" destId="{9B708AB0-4AE6-43D1-BF2A-35E2DEF5C8EE}" srcOrd="0" destOrd="0" parTransId="{33549536-1391-4274-A5C6-C582D0802F58}" sibTransId="{575EC4DC-DCF5-4CE1-9A70-4FD4ECD6290E}"/>
    <dgm:cxn modelId="{6BF1C2E1-A4F6-4CA8-88A5-094BC7507160}" type="presOf" srcId="{9B708AB0-4AE6-43D1-BF2A-35E2DEF5C8EE}" destId="{45678099-A6F6-454C-A82B-A265B5D81EB4}" srcOrd="0" destOrd="0" presId="urn:microsoft.com/office/officeart/2005/8/layout/matrix1"/>
    <dgm:cxn modelId="{3455F01D-A877-4D32-B5AB-2AF4699508C4}" type="presOf" srcId="{2E181A04-8459-4C43-9E63-EA424E485DE9}" destId="{EBA8A7A7-1F4F-481A-8E3A-8BF113C434CE}" srcOrd="1" destOrd="0" presId="urn:microsoft.com/office/officeart/2005/8/layout/matrix1"/>
    <dgm:cxn modelId="{D825F52C-F518-4615-95C3-BF6F8EF4EF52}" type="presOf" srcId="{FC2B42DF-F716-40E2-B8B0-ED1A2BEEE3C8}" destId="{C8109B37-AB4A-4C48-BE7D-11D1E0F4797B}" srcOrd="1" destOrd="0" presId="urn:microsoft.com/office/officeart/2005/8/layout/matrix1"/>
    <dgm:cxn modelId="{BC8702EC-5DE7-4DC2-87F7-E5E5ED154E09}" type="presOf" srcId="{9B708AB0-4AE6-43D1-BF2A-35E2DEF5C8EE}" destId="{69DEC052-6E97-4C38-82F0-429B57EB563C}" srcOrd="1" destOrd="0" presId="urn:microsoft.com/office/officeart/2005/8/layout/matrix1"/>
    <dgm:cxn modelId="{DB3392CD-064E-4E12-B54B-E2D4A90C3EC0}" srcId="{205FED68-C12D-44D4-B475-B1AD245B3C00}" destId="{FC2B42DF-F716-40E2-B8B0-ED1A2BEEE3C8}" srcOrd="1" destOrd="0" parTransId="{261D90D7-8EA1-47EA-ACDB-020FA47FAC3D}" sibTransId="{162ECBF9-9B2D-479F-96A3-9418186425A9}"/>
    <dgm:cxn modelId="{67927F0C-75C9-4B0C-B240-DAA5B10D2C9D}" type="presParOf" srcId="{23BCF434-1E5F-42D7-8E17-F269A21776A9}" destId="{C71F52C1-FDFA-4641-A656-2E7D342549CB}" srcOrd="0" destOrd="0" presId="urn:microsoft.com/office/officeart/2005/8/layout/matrix1"/>
    <dgm:cxn modelId="{DE7247B7-66C2-4D9E-B1AD-A6BFA0F4BC5B}" type="presParOf" srcId="{C71F52C1-FDFA-4641-A656-2E7D342549CB}" destId="{45678099-A6F6-454C-A82B-A265B5D81EB4}" srcOrd="0" destOrd="0" presId="urn:microsoft.com/office/officeart/2005/8/layout/matrix1"/>
    <dgm:cxn modelId="{F47DD50E-7B35-48A4-9A54-8744F207C8CB}" type="presParOf" srcId="{C71F52C1-FDFA-4641-A656-2E7D342549CB}" destId="{69DEC052-6E97-4C38-82F0-429B57EB563C}" srcOrd="1" destOrd="0" presId="urn:microsoft.com/office/officeart/2005/8/layout/matrix1"/>
    <dgm:cxn modelId="{833A381E-11A1-416D-A1AD-F47C3B7314B6}" type="presParOf" srcId="{C71F52C1-FDFA-4641-A656-2E7D342549CB}" destId="{86DE35F7-DA71-45CE-9340-CB72BA367826}" srcOrd="2" destOrd="0" presId="urn:microsoft.com/office/officeart/2005/8/layout/matrix1"/>
    <dgm:cxn modelId="{5358DC92-A985-4EA9-B776-E0FE28C09C77}" type="presParOf" srcId="{C71F52C1-FDFA-4641-A656-2E7D342549CB}" destId="{C8109B37-AB4A-4C48-BE7D-11D1E0F4797B}" srcOrd="3" destOrd="0" presId="urn:microsoft.com/office/officeart/2005/8/layout/matrix1"/>
    <dgm:cxn modelId="{FD6A5EF7-704D-493E-8769-AB35C822AD14}" type="presParOf" srcId="{C71F52C1-FDFA-4641-A656-2E7D342549CB}" destId="{E134DC3B-CDFC-434D-B808-19B5E4DF639C}" srcOrd="4" destOrd="0" presId="urn:microsoft.com/office/officeart/2005/8/layout/matrix1"/>
    <dgm:cxn modelId="{AEDA4335-DFC7-4559-B1D0-DE30F34060FA}" type="presParOf" srcId="{C71F52C1-FDFA-4641-A656-2E7D342549CB}" destId="{FA6FFFF4-C9B1-45D1-AD47-98716549DD0E}" srcOrd="5" destOrd="0" presId="urn:microsoft.com/office/officeart/2005/8/layout/matrix1"/>
    <dgm:cxn modelId="{89928AB4-B396-4093-8F88-88E64FA1586E}" type="presParOf" srcId="{C71F52C1-FDFA-4641-A656-2E7D342549CB}" destId="{8B2F327A-D77C-48FD-ACE3-F3CD6E50CA90}" srcOrd="6" destOrd="0" presId="urn:microsoft.com/office/officeart/2005/8/layout/matrix1"/>
    <dgm:cxn modelId="{A5F92B6A-BCBC-47F6-86E1-6D0BBDD210E3}" type="presParOf" srcId="{C71F52C1-FDFA-4641-A656-2E7D342549CB}" destId="{EBA8A7A7-1F4F-481A-8E3A-8BF113C434CE}" srcOrd="7" destOrd="0" presId="urn:microsoft.com/office/officeart/2005/8/layout/matrix1"/>
    <dgm:cxn modelId="{C90D4498-8797-4FB8-BC9D-D9F3F408620F}" type="presParOf" srcId="{23BCF434-1E5F-42D7-8E17-F269A21776A9}" destId="{F037DB92-D629-4A17-A9C0-59EA7E88365A}" srcOrd="1" destOrd="0" presId="urn:microsoft.com/office/officeart/2005/8/layout/matrix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678099-A6F6-454C-A82B-A265B5D81EB4}">
      <dsp:nvSpPr>
        <dsp:cNvPr id="0" name=""/>
        <dsp:cNvSpPr/>
      </dsp:nvSpPr>
      <dsp:spPr>
        <a:xfrm rot="16200000">
          <a:off x="1026107" y="-1013400"/>
          <a:ext cx="4553785" cy="6606000"/>
        </a:xfrm>
        <a:prstGeom prst="round1Rect">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NZ" sz="1400" b="1" kern="1200"/>
            <a:t>Part B </a:t>
          </a:r>
        </a:p>
        <a:p>
          <a:pPr lvl="0" algn="ctr" defTabSz="622300">
            <a:lnSpc>
              <a:spcPct val="90000"/>
            </a:lnSpc>
            <a:spcBef>
              <a:spcPct val="0"/>
            </a:spcBef>
            <a:spcAft>
              <a:spcPct val="35000"/>
            </a:spcAft>
          </a:pPr>
          <a:endParaRPr lang="en-NZ" sz="1400" b="1" kern="1200"/>
        </a:p>
        <a:p>
          <a:pPr lvl="0" algn="ctr" defTabSz="622300">
            <a:lnSpc>
              <a:spcPct val="90000"/>
            </a:lnSpc>
            <a:spcBef>
              <a:spcPct val="0"/>
            </a:spcBef>
            <a:spcAft>
              <a:spcPct val="35000"/>
            </a:spcAft>
          </a:pPr>
          <a:endParaRPr lang="en-NZ" sz="1400" b="1" kern="1200"/>
        </a:p>
        <a:p>
          <a:pPr lvl="0" algn="ctr" defTabSz="622300">
            <a:lnSpc>
              <a:spcPct val="90000"/>
            </a:lnSpc>
            <a:spcBef>
              <a:spcPct val="0"/>
            </a:spcBef>
            <a:spcAft>
              <a:spcPct val="35000"/>
            </a:spcAft>
          </a:pPr>
          <a:r>
            <a:rPr lang="en-NZ" sz="1400" b="1" kern="1200"/>
            <a:t>Collaborative Inquiry and practices   </a:t>
          </a:r>
        </a:p>
        <a:p>
          <a:pPr lvl="0" algn="ctr" defTabSz="622300">
            <a:lnSpc>
              <a:spcPct val="90000"/>
            </a:lnSpc>
            <a:spcBef>
              <a:spcPct val="0"/>
            </a:spcBef>
            <a:spcAft>
              <a:spcPct val="35000"/>
            </a:spcAft>
          </a:pPr>
          <a:r>
            <a:rPr lang="en-NZ" sz="1400" b="1" kern="1200"/>
            <a:t>Use the prompts on the proposal /and TLIF Guide                                            </a:t>
          </a:r>
        </a:p>
        <a:p>
          <a:pPr lvl="0" algn="l" defTabSz="622300">
            <a:lnSpc>
              <a:spcPct val="90000"/>
            </a:lnSpc>
            <a:spcBef>
              <a:spcPct val="0"/>
            </a:spcBef>
            <a:spcAft>
              <a:spcPct val="35000"/>
            </a:spcAft>
          </a:pPr>
          <a:r>
            <a:rPr lang="en-NZ" sz="1200" b="0" kern="1200"/>
            <a:t>The TLIF panel  reports have noticed that many proposals promote individual inquiries around a common theme rather than collectively designing and implementing an inquiry together. The panel will look for :</a:t>
          </a:r>
        </a:p>
        <a:p>
          <a:pPr lvl="0" algn="l" defTabSz="622300">
            <a:lnSpc>
              <a:spcPct val="90000"/>
            </a:lnSpc>
            <a:spcBef>
              <a:spcPct val="0"/>
            </a:spcBef>
            <a:spcAft>
              <a:spcPct val="35000"/>
            </a:spcAft>
          </a:pPr>
          <a:r>
            <a:rPr lang="en-NZ" sz="1200" b="0" kern="1200"/>
            <a:t>1. How the teachers will design their </a:t>
          </a:r>
          <a:r>
            <a:rPr lang="en-NZ" sz="1200" b="1" kern="1200"/>
            <a:t>joint inquiry.</a:t>
          </a:r>
        </a:p>
        <a:p>
          <a:pPr lvl="0" algn="l" defTabSz="622300">
            <a:lnSpc>
              <a:spcPct val="90000"/>
            </a:lnSpc>
            <a:spcBef>
              <a:spcPct val="0"/>
            </a:spcBef>
            <a:spcAft>
              <a:spcPct val="35000"/>
            </a:spcAft>
          </a:pPr>
          <a:r>
            <a:rPr lang="en-NZ" sz="1200" b="0" kern="1200"/>
            <a:t>2. How teachers will </a:t>
          </a:r>
          <a:r>
            <a:rPr lang="en-NZ" sz="1200" b="1" kern="1200"/>
            <a:t>collaborate regularly </a:t>
          </a:r>
          <a:r>
            <a:rPr lang="en-NZ" sz="1200" b="0" kern="1200"/>
            <a:t>about the practices they are innovating, the ways they will  notice responses of their  learners, how they  will use common tools to support their analysis of these responses.</a:t>
          </a:r>
        </a:p>
        <a:p>
          <a:pPr lvl="0" algn="l" defTabSz="622300">
            <a:lnSpc>
              <a:spcPct val="90000"/>
            </a:lnSpc>
            <a:spcBef>
              <a:spcPct val="0"/>
            </a:spcBef>
            <a:spcAft>
              <a:spcPct val="35000"/>
            </a:spcAft>
          </a:pPr>
          <a:r>
            <a:rPr lang="en-NZ" sz="1200" b="0" kern="1200"/>
            <a:t>3. How the </a:t>
          </a:r>
          <a:r>
            <a:rPr lang="en-NZ" sz="1200" b="1" kern="1200"/>
            <a:t>collaboration discussions </a:t>
          </a:r>
          <a:r>
            <a:rPr lang="en-NZ" sz="1200" b="0" kern="1200"/>
            <a:t>will promote challenging conversations between teachers.</a:t>
          </a:r>
        </a:p>
        <a:p>
          <a:pPr lvl="0" algn="l" defTabSz="622300">
            <a:lnSpc>
              <a:spcPct val="90000"/>
            </a:lnSpc>
            <a:spcBef>
              <a:spcPct val="0"/>
            </a:spcBef>
            <a:spcAft>
              <a:spcPct val="35000"/>
            </a:spcAft>
          </a:pPr>
          <a:r>
            <a:rPr lang="en-NZ" sz="1200" b="0" kern="1200"/>
            <a:t>4. The </a:t>
          </a:r>
          <a:r>
            <a:rPr lang="en-NZ" sz="1200" b="1" kern="1200"/>
            <a:t>scale of the collaboration </a:t>
          </a:r>
          <a:r>
            <a:rPr lang="en-NZ" sz="1200" b="0" kern="1200"/>
            <a:t>- this will be different from a large PLD response. It will be a small group of teachers who can lead the design of the innovation, use common tools,  trial and monitor new practices, collectively undertake the analysis of data and make decisions about what to change next. </a:t>
          </a:r>
        </a:p>
        <a:p>
          <a:pPr lvl="0" algn="l" defTabSz="622300">
            <a:lnSpc>
              <a:spcPct val="90000"/>
            </a:lnSpc>
            <a:spcBef>
              <a:spcPct val="0"/>
            </a:spcBef>
            <a:spcAft>
              <a:spcPct val="35000"/>
            </a:spcAft>
          </a:pPr>
          <a:r>
            <a:rPr lang="en-NZ" sz="1200" b="0" kern="1200"/>
            <a:t>5. Who is </a:t>
          </a:r>
          <a:r>
            <a:rPr lang="en-NZ" sz="1200" b="1" kern="1200"/>
            <a:t>genuinely leading the work </a:t>
          </a:r>
          <a:r>
            <a:rPr lang="en-NZ" sz="1200" b="0" kern="1200"/>
            <a:t>- any expert support should not do any of the tasks above independently of the inquiry team. </a:t>
          </a:r>
        </a:p>
        <a:p>
          <a:pPr lvl="0" algn="l" defTabSz="622300">
            <a:lnSpc>
              <a:spcPct val="90000"/>
            </a:lnSpc>
            <a:spcBef>
              <a:spcPct val="0"/>
            </a:spcBef>
            <a:spcAft>
              <a:spcPct val="35000"/>
            </a:spcAft>
          </a:pPr>
          <a:r>
            <a:rPr lang="en-NZ" sz="1200" b="0" kern="1200"/>
            <a:t>NB. If your focus is on local curriculum design, you may want to use the </a:t>
          </a:r>
          <a:r>
            <a:rPr lang="en-NZ" sz="1200" b="1" kern="1200"/>
            <a:t>collaborative inquiry tool </a:t>
          </a:r>
          <a:r>
            <a:rPr lang="en-NZ" sz="1200" b="0" kern="1200"/>
            <a:t>in the Local Curriculum Design Toolkit|Rapua Te AraTika to plan your actions. The panel will look for how the tool will help you innovate on teacher practices.</a:t>
          </a:r>
        </a:p>
      </dsp:txBody>
      <dsp:txXfrm rot="5400000">
        <a:off x="0" y="12707"/>
        <a:ext cx="6606000" cy="3415339"/>
      </dsp:txXfrm>
    </dsp:sp>
    <dsp:sp modelId="{86DE35F7-DA71-45CE-9340-CB72BA367826}">
      <dsp:nvSpPr>
        <dsp:cNvPr id="0" name=""/>
        <dsp:cNvSpPr/>
      </dsp:nvSpPr>
      <dsp:spPr>
        <a:xfrm>
          <a:off x="6606000" y="0"/>
          <a:ext cx="6606000" cy="4579200"/>
        </a:xfrm>
        <a:prstGeom prst="round1Rect">
          <a:avLst/>
        </a:prstGeom>
        <a:solidFill>
          <a:schemeClr val="accent5">
            <a:shade val="50000"/>
            <a:hueOff val="201247"/>
            <a:satOff val="-4901"/>
            <a:lumOff val="2144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NZ" sz="1400" b="1" kern="1200"/>
            <a:t>Part C</a:t>
          </a:r>
        </a:p>
        <a:p>
          <a:pPr lvl="0" algn="ctr" defTabSz="622300">
            <a:lnSpc>
              <a:spcPct val="90000"/>
            </a:lnSpc>
            <a:spcBef>
              <a:spcPct val="0"/>
            </a:spcBef>
            <a:spcAft>
              <a:spcPct val="35000"/>
            </a:spcAft>
          </a:pPr>
          <a:endParaRPr lang="en-NZ" sz="1400" b="1" kern="1200"/>
        </a:p>
        <a:p>
          <a:pPr lvl="0" algn="ctr" defTabSz="622300">
            <a:lnSpc>
              <a:spcPct val="90000"/>
            </a:lnSpc>
            <a:spcBef>
              <a:spcPct val="0"/>
            </a:spcBef>
            <a:spcAft>
              <a:spcPct val="35000"/>
            </a:spcAft>
          </a:pPr>
          <a:endParaRPr lang="en-NZ" sz="1400" b="1" kern="1200"/>
        </a:p>
        <a:p>
          <a:pPr lvl="0" algn="ctr" defTabSz="622300">
            <a:lnSpc>
              <a:spcPct val="90000"/>
            </a:lnSpc>
            <a:spcBef>
              <a:spcPct val="0"/>
            </a:spcBef>
            <a:spcAft>
              <a:spcPct val="35000"/>
            </a:spcAft>
          </a:pPr>
          <a:r>
            <a:rPr lang="en-NZ" sz="1400" b="1" kern="1200"/>
            <a:t>Initial Planning and Implementation</a:t>
          </a:r>
        </a:p>
        <a:p>
          <a:pPr lvl="0" algn="ctr" defTabSz="622300">
            <a:lnSpc>
              <a:spcPct val="90000"/>
            </a:lnSpc>
            <a:spcBef>
              <a:spcPct val="0"/>
            </a:spcBef>
            <a:spcAft>
              <a:spcPct val="35000"/>
            </a:spcAft>
          </a:pPr>
          <a:r>
            <a:rPr lang="en-NZ" sz="1400" b="1" kern="1200"/>
            <a:t>Use the prompts on the proposal/and TLIF Guide</a:t>
          </a:r>
        </a:p>
        <a:p>
          <a:pPr lvl="0" algn="l" defTabSz="622300">
            <a:lnSpc>
              <a:spcPct val="90000"/>
            </a:lnSpc>
            <a:spcBef>
              <a:spcPct val="0"/>
            </a:spcBef>
            <a:spcAft>
              <a:spcPct val="35000"/>
            </a:spcAft>
          </a:pPr>
          <a:r>
            <a:rPr lang="en-NZ" sz="1200" b="0" kern="1200"/>
            <a:t>Planning is about the "what "and "how" of the inquiry. The chart also includes an estimate of costs of the planned activities to help the budget process. The panel looks for:</a:t>
          </a:r>
        </a:p>
        <a:p>
          <a:pPr lvl="0" algn="l" defTabSz="622300">
            <a:lnSpc>
              <a:spcPct val="90000"/>
            </a:lnSpc>
            <a:spcBef>
              <a:spcPct val="0"/>
            </a:spcBef>
            <a:spcAft>
              <a:spcPct val="35000"/>
            </a:spcAft>
          </a:pPr>
          <a:r>
            <a:rPr lang="en-NZ" sz="1200" b="0" kern="1200"/>
            <a:t>1.  An </a:t>
          </a:r>
          <a:r>
            <a:rPr lang="en-NZ" sz="1200" b="1" kern="1200"/>
            <a:t>inquiry cycle model </a:t>
          </a:r>
          <a:r>
            <a:rPr lang="en-NZ" sz="1200" b="0" kern="1200"/>
            <a:t>that frames the actions you will be taking for the teacher inquiry - there are many excellent models available, so the choice is yours.  </a:t>
          </a:r>
          <a:endParaRPr lang="en-NZ" sz="1200" b="0" i="1" kern="1200"/>
        </a:p>
        <a:p>
          <a:pPr lvl="0" algn="l" defTabSz="622300">
            <a:lnSpc>
              <a:spcPct val="90000"/>
            </a:lnSpc>
            <a:spcBef>
              <a:spcPct val="0"/>
            </a:spcBef>
            <a:spcAft>
              <a:spcPct val="35000"/>
            </a:spcAft>
          </a:pPr>
          <a:r>
            <a:rPr lang="en-NZ" sz="1200" b="0" i="0" kern="1200"/>
            <a:t>2. The </a:t>
          </a:r>
          <a:r>
            <a:rPr lang="en-NZ" sz="1200" b="1" i="0" kern="1200"/>
            <a:t>cycles of inquiry </a:t>
          </a:r>
          <a:r>
            <a:rPr lang="en-NZ" sz="1200" b="0" i="0" kern="1200"/>
            <a:t>in your plan - it is more effective to innovate practice in deliberate steps.</a:t>
          </a:r>
        </a:p>
        <a:p>
          <a:pPr lvl="0" algn="l" defTabSz="622300">
            <a:lnSpc>
              <a:spcPct val="90000"/>
            </a:lnSpc>
            <a:spcBef>
              <a:spcPct val="0"/>
            </a:spcBef>
            <a:spcAft>
              <a:spcPct val="35000"/>
            </a:spcAft>
          </a:pPr>
          <a:r>
            <a:rPr lang="en-NZ" sz="1200" b="0" i="0" kern="1200"/>
            <a:t>3. The range of tools to notice shifts in teacher practices and learners outcomes (their learning behaviours, capabilities, competencies and learning /achievement outcomes).</a:t>
          </a:r>
        </a:p>
        <a:p>
          <a:pPr lvl="0" algn="l" defTabSz="622300">
            <a:lnSpc>
              <a:spcPct val="90000"/>
            </a:lnSpc>
            <a:spcBef>
              <a:spcPct val="0"/>
            </a:spcBef>
            <a:spcAft>
              <a:spcPct val="35000"/>
            </a:spcAft>
          </a:pPr>
          <a:r>
            <a:rPr lang="en-NZ" sz="1200" b="0" kern="1200"/>
            <a:t>NB. If your focus is on local curriculum design, you may want to use the </a:t>
          </a:r>
          <a:r>
            <a:rPr lang="en-NZ" sz="1200" b="1" kern="1200"/>
            <a:t>collaborative inquiry, </a:t>
          </a:r>
          <a:r>
            <a:rPr lang="en-NZ" sz="1200" b="0" kern="1200"/>
            <a:t> </a:t>
          </a:r>
          <a:r>
            <a:rPr lang="en-NZ" sz="1200" b="1" kern="1200"/>
            <a:t>rich opportunities for learning, relationships for learning and coherent pathways tools </a:t>
          </a:r>
          <a:r>
            <a:rPr lang="en-NZ" sz="1200" b="0" kern="1200"/>
            <a:t>in the Local Curriculum Design Toolkit|Rapua Te AraTika to plan your actions.</a:t>
          </a:r>
        </a:p>
        <a:p>
          <a:pPr lvl="0" algn="l" defTabSz="622300">
            <a:lnSpc>
              <a:spcPct val="90000"/>
            </a:lnSpc>
            <a:spcBef>
              <a:spcPct val="0"/>
            </a:spcBef>
            <a:spcAft>
              <a:spcPct val="35000"/>
            </a:spcAft>
          </a:pPr>
          <a:r>
            <a:rPr lang="en-NZ" sz="1200" b="0" kern="1200"/>
            <a:t> </a:t>
          </a:r>
          <a:endParaRPr lang="en-NZ" sz="1100" b="0" kern="1200"/>
        </a:p>
        <a:p>
          <a:pPr lvl="0" algn="ctr" defTabSz="622300">
            <a:lnSpc>
              <a:spcPct val="90000"/>
            </a:lnSpc>
            <a:spcBef>
              <a:spcPct val="0"/>
            </a:spcBef>
            <a:spcAft>
              <a:spcPct val="35000"/>
            </a:spcAft>
          </a:pPr>
          <a:endParaRPr lang="en-NZ" sz="1400" b="1" kern="1200"/>
        </a:p>
        <a:p>
          <a:pPr lvl="0" algn="l" defTabSz="622300">
            <a:lnSpc>
              <a:spcPct val="90000"/>
            </a:lnSpc>
            <a:spcBef>
              <a:spcPct val="0"/>
            </a:spcBef>
            <a:spcAft>
              <a:spcPct val="35000"/>
            </a:spcAft>
          </a:pPr>
          <a:endParaRPr lang="en-NZ" sz="1400" b="1" kern="1200"/>
        </a:p>
      </dsp:txBody>
      <dsp:txXfrm>
        <a:off x="6606000" y="0"/>
        <a:ext cx="6606000" cy="3434400"/>
      </dsp:txXfrm>
    </dsp:sp>
    <dsp:sp modelId="{E134DC3B-CDFC-434D-B808-19B5E4DF639C}">
      <dsp:nvSpPr>
        <dsp:cNvPr id="0" name=""/>
        <dsp:cNvSpPr/>
      </dsp:nvSpPr>
      <dsp:spPr>
        <a:xfrm rot="10800000">
          <a:off x="0" y="4579200"/>
          <a:ext cx="6606000" cy="4579200"/>
        </a:xfrm>
        <a:prstGeom prst="round1Rect">
          <a:avLst/>
        </a:prstGeom>
        <a:solidFill>
          <a:schemeClr val="accent5">
            <a:shade val="50000"/>
            <a:hueOff val="402493"/>
            <a:satOff val="-9802"/>
            <a:lumOff val="428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NZ" sz="1400" b="1" kern="1200"/>
            <a:t>Part E </a:t>
          </a:r>
        </a:p>
        <a:p>
          <a:pPr lvl="0" algn="ctr" defTabSz="622300">
            <a:lnSpc>
              <a:spcPct val="90000"/>
            </a:lnSpc>
            <a:spcBef>
              <a:spcPct val="0"/>
            </a:spcBef>
            <a:spcAft>
              <a:spcPct val="35000"/>
            </a:spcAft>
          </a:pPr>
          <a:r>
            <a:rPr lang="en-NZ" sz="1400" b="1" kern="1200"/>
            <a:t>Timelines and funding</a:t>
          </a:r>
        </a:p>
        <a:p>
          <a:pPr lvl="0" algn="ctr" defTabSz="622300">
            <a:lnSpc>
              <a:spcPct val="90000"/>
            </a:lnSpc>
            <a:spcBef>
              <a:spcPct val="0"/>
            </a:spcBef>
            <a:spcAft>
              <a:spcPct val="35000"/>
            </a:spcAft>
          </a:pPr>
          <a:r>
            <a:rPr lang="en-NZ" sz="1400" b="1" kern="1200"/>
            <a:t>Use the prompts on the proposal/and TLIF Guide</a:t>
          </a:r>
        </a:p>
        <a:p>
          <a:pPr lvl="0" algn="l" defTabSz="622300">
            <a:lnSpc>
              <a:spcPct val="90000"/>
            </a:lnSpc>
            <a:spcBef>
              <a:spcPct val="0"/>
            </a:spcBef>
            <a:spcAft>
              <a:spcPct val="35000"/>
            </a:spcAft>
          </a:pPr>
          <a:r>
            <a:rPr lang="en-NZ" sz="1200" b="0" kern="1200"/>
            <a:t>The panel does consider the scope and scale of your inquiry in relation to the  funding you are seeking.  They have capped the funding because the TLIF projects must finish in June 2020. The panel will support you directly </a:t>
          </a:r>
          <a:r>
            <a:rPr lang="en-NZ" sz="1200" b="1" kern="1200"/>
            <a:t>after selection </a:t>
          </a:r>
          <a:r>
            <a:rPr lang="en-NZ" sz="1200" b="0" kern="1200"/>
            <a:t>to align any panel feedback you have received and a more detailed action plan - so these costs are included in the budget. The panel will look for:</a:t>
          </a:r>
        </a:p>
        <a:p>
          <a:pPr lvl="0" algn="l" defTabSz="622300">
            <a:lnSpc>
              <a:spcPct val="90000"/>
            </a:lnSpc>
            <a:spcBef>
              <a:spcPct val="0"/>
            </a:spcBef>
            <a:spcAft>
              <a:spcPct val="35000"/>
            </a:spcAft>
          </a:pPr>
          <a:r>
            <a:rPr lang="en-NZ" sz="1200" b="0" kern="1200"/>
            <a:t>1. How the costs indicated in Part C align with the funding chart in this section.</a:t>
          </a:r>
        </a:p>
        <a:p>
          <a:pPr lvl="0" algn="l" defTabSz="622300">
            <a:lnSpc>
              <a:spcPct val="90000"/>
            </a:lnSpc>
            <a:spcBef>
              <a:spcPct val="0"/>
            </a:spcBef>
            <a:spcAft>
              <a:spcPct val="35000"/>
            </a:spcAft>
          </a:pPr>
          <a:r>
            <a:rPr lang="en-NZ" sz="1200" b="0" kern="1200"/>
            <a:t>2. The proportion of funding for teachers in relation to the expert/specialist supports - this gives the panel an indication of who is genuinely leading the inquiry. </a:t>
          </a:r>
        </a:p>
      </dsp:txBody>
      <dsp:txXfrm rot="10800000">
        <a:off x="0" y="5724000"/>
        <a:ext cx="6606000" cy="3434400"/>
      </dsp:txXfrm>
    </dsp:sp>
    <dsp:sp modelId="{8B2F327A-D77C-48FD-ACE3-F3CD6E50CA90}">
      <dsp:nvSpPr>
        <dsp:cNvPr id="0" name=""/>
        <dsp:cNvSpPr/>
      </dsp:nvSpPr>
      <dsp:spPr>
        <a:xfrm rot="5400000">
          <a:off x="7619400" y="3565800"/>
          <a:ext cx="4579200" cy="6606000"/>
        </a:xfrm>
        <a:prstGeom prst="round1Rect">
          <a:avLst/>
        </a:prstGeom>
        <a:solidFill>
          <a:schemeClr val="accent5">
            <a:shade val="50000"/>
            <a:hueOff val="201247"/>
            <a:satOff val="-4901"/>
            <a:lumOff val="2144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NZ" sz="1400" b="1" kern="1200"/>
            <a:t>Part D</a:t>
          </a:r>
        </a:p>
        <a:p>
          <a:pPr lvl="0" algn="ctr" defTabSz="622300">
            <a:lnSpc>
              <a:spcPct val="90000"/>
            </a:lnSpc>
            <a:spcBef>
              <a:spcPct val="0"/>
            </a:spcBef>
            <a:spcAft>
              <a:spcPct val="35000"/>
            </a:spcAft>
          </a:pPr>
          <a:r>
            <a:rPr lang="en-NZ" sz="1400" b="1" kern="1200"/>
            <a:t>Impact of the project</a:t>
          </a:r>
        </a:p>
        <a:p>
          <a:pPr lvl="0" algn="ctr" defTabSz="622300">
            <a:lnSpc>
              <a:spcPct val="90000"/>
            </a:lnSpc>
            <a:spcBef>
              <a:spcPct val="0"/>
            </a:spcBef>
            <a:spcAft>
              <a:spcPct val="35000"/>
            </a:spcAft>
          </a:pPr>
          <a:r>
            <a:rPr lang="en-NZ" sz="1400" b="1" kern="1200"/>
            <a:t>Use the prompts on the proposal/and TLIF Guide</a:t>
          </a:r>
        </a:p>
        <a:p>
          <a:pPr lvl="0" algn="l" defTabSz="622300">
            <a:lnSpc>
              <a:spcPct val="90000"/>
            </a:lnSpc>
            <a:spcBef>
              <a:spcPct val="0"/>
            </a:spcBef>
            <a:spcAft>
              <a:spcPct val="35000"/>
            </a:spcAft>
          </a:pPr>
          <a:r>
            <a:rPr lang="en-NZ" sz="1200" b="0" kern="1200"/>
            <a:t>The panel and TLIF evaluation has reported that evaluating impact is the biggest issue facing the TLIF teams, particularly managing the process of gathering, analysing and interpreting data for the next steps in their practice.  The panel will look for:</a:t>
          </a:r>
        </a:p>
        <a:p>
          <a:pPr lvl="0" algn="l" defTabSz="622300">
            <a:lnSpc>
              <a:spcPct val="90000"/>
            </a:lnSpc>
            <a:spcBef>
              <a:spcPct val="0"/>
            </a:spcBef>
            <a:spcAft>
              <a:spcPct val="35000"/>
            </a:spcAft>
          </a:pPr>
          <a:r>
            <a:rPr lang="en-NZ" sz="1200" b="0" kern="1200"/>
            <a:t>1.  The ways that </a:t>
          </a:r>
          <a:r>
            <a:rPr lang="en-NZ" sz="1200" b="1" kern="1200"/>
            <a:t>shifts in teacher practices will be tracked over time</a:t>
          </a:r>
          <a:r>
            <a:rPr lang="en-NZ" sz="1200" b="0" kern="1200"/>
            <a:t>. Indicate what tools you might devise or use for this, how you might involve learner voice in the tracking of the shifts. Are learners noticing teachers doing something different? Are they clearer about what and how they are learning? </a:t>
          </a:r>
        </a:p>
        <a:p>
          <a:pPr lvl="0" algn="l" defTabSz="622300">
            <a:lnSpc>
              <a:spcPct val="90000"/>
            </a:lnSpc>
            <a:spcBef>
              <a:spcPct val="0"/>
            </a:spcBef>
            <a:spcAft>
              <a:spcPct val="35000"/>
            </a:spcAft>
          </a:pPr>
          <a:r>
            <a:rPr lang="en-NZ" sz="1200" b="0" kern="1200"/>
            <a:t>2. How you </a:t>
          </a:r>
          <a:r>
            <a:rPr lang="en-NZ" sz="1200" b="1" kern="1200"/>
            <a:t>use this data in the collaborative discussions </a:t>
          </a:r>
          <a:r>
            <a:rPr lang="en-NZ" sz="1200" b="0" kern="1200"/>
            <a:t>to think about next iteration of the practice, or doing something differently if it is not working.</a:t>
          </a:r>
        </a:p>
        <a:p>
          <a:pPr lvl="0" algn="ctr" defTabSz="622300">
            <a:lnSpc>
              <a:spcPct val="90000"/>
            </a:lnSpc>
            <a:spcBef>
              <a:spcPct val="0"/>
            </a:spcBef>
            <a:spcAft>
              <a:spcPct val="35000"/>
            </a:spcAft>
          </a:pPr>
          <a:endParaRPr lang="en-NZ" sz="1400" kern="1200"/>
        </a:p>
      </dsp:txBody>
      <dsp:txXfrm rot="-5400000">
        <a:off x="6606000" y="5724000"/>
        <a:ext cx="6606000" cy="3434400"/>
      </dsp:txXfrm>
    </dsp:sp>
    <dsp:sp modelId="{F037DB92-D629-4A17-A9C0-59EA7E88365A}">
      <dsp:nvSpPr>
        <dsp:cNvPr id="0" name=""/>
        <dsp:cNvSpPr/>
      </dsp:nvSpPr>
      <dsp:spPr>
        <a:xfrm>
          <a:off x="949566" y="4342260"/>
          <a:ext cx="11475375" cy="1794657"/>
        </a:xfrm>
        <a:prstGeom prst="roundRect">
          <a:avLst/>
        </a:prstGeom>
        <a:solidFill>
          <a:schemeClr val="accent5">
            <a:tint val="55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NZ" sz="1400" b="1" kern="1200"/>
            <a:t>Part A </a:t>
          </a:r>
        </a:p>
        <a:p>
          <a:pPr lvl="0" algn="ctr" defTabSz="622300">
            <a:lnSpc>
              <a:spcPct val="90000"/>
            </a:lnSpc>
            <a:spcBef>
              <a:spcPct val="0"/>
            </a:spcBef>
            <a:spcAft>
              <a:spcPct val="35000"/>
            </a:spcAft>
          </a:pPr>
          <a:r>
            <a:rPr lang="en-NZ" sz="1400" b="1" kern="1200"/>
            <a:t>The Innovation</a:t>
          </a:r>
        </a:p>
        <a:p>
          <a:pPr lvl="0" algn="ctr" defTabSz="622300">
            <a:lnSpc>
              <a:spcPct val="90000"/>
            </a:lnSpc>
            <a:spcBef>
              <a:spcPct val="0"/>
            </a:spcBef>
            <a:spcAft>
              <a:spcPct val="35000"/>
            </a:spcAft>
          </a:pPr>
          <a:r>
            <a:rPr lang="en-NZ" sz="1400" b="1" kern="1200"/>
            <a:t>Use the prompts on the proposal/TLIF Guide</a:t>
          </a:r>
        </a:p>
        <a:p>
          <a:pPr lvl="0" algn="l" defTabSz="622300">
            <a:lnSpc>
              <a:spcPct val="90000"/>
            </a:lnSpc>
            <a:spcBef>
              <a:spcPct val="0"/>
            </a:spcBef>
            <a:spcAft>
              <a:spcPct val="35000"/>
            </a:spcAft>
          </a:pPr>
          <a:r>
            <a:rPr lang="en-NZ" sz="1200" kern="1200"/>
            <a:t>The way you frame your innovation and inquiry is important to the panel.                                                                                                                                                                                               1. Avoid deficit statements about learners and whānau  - focus on </a:t>
          </a:r>
          <a:r>
            <a:rPr lang="en-NZ" sz="1200" b="1" kern="1200"/>
            <a:t>new </a:t>
          </a:r>
          <a:r>
            <a:rPr lang="en-NZ" sz="1200" kern="1200"/>
            <a:t>practices that teachers will explore. </a:t>
          </a:r>
        </a:p>
        <a:p>
          <a:pPr lvl="0" algn="l" defTabSz="622300">
            <a:lnSpc>
              <a:spcPct val="90000"/>
            </a:lnSpc>
            <a:spcBef>
              <a:spcPct val="0"/>
            </a:spcBef>
            <a:spcAft>
              <a:spcPct val="35000"/>
            </a:spcAft>
          </a:pPr>
          <a:r>
            <a:rPr lang="en-NZ" sz="1200" kern="1200"/>
            <a:t>2.  Local curriculum development is about the "what" and the "how," so teacher practices are a central to any inquiry.</a:t>
          </a:r>
        </a:p>
        <a:p>
          <a:pPr lvl="0" algn="l" defTabSz="622300">
            <a:lnSpc>
              <a:spcPct val="90000"/>
            </a:lnSpc>
            <a:spcBef>
              <a:spcPct val="0"/>
            </a:spcBef>
            <a:spcAft>
              <a:spcPct val="35000"/>
            </a:spcAft>
          </a:pPr>
          <a:r>
            <a:rPr lang="en-NZ" sz="1200" kern="1200"/>
            <a:t>3.  PLD and the TLIF are different - the fund targets those teachers  who can guide their own inquiry, who already have a clear idea of where they might innovate on their practice.                        </a:t>
          </a:r>
        </a:p>
      </dsp:txBody>
      <dsp:txXfrm>
        <a:off x="1037174" y="4429868"/>
        <a:ext cx="11300159" cy="161944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O'Connell</dc:creator>
  <cp:keywords/>
  <dc:description/>
  <cp:lastModifiedBy>Christine Whittaker</cp:lastModifiedBy>
  <cp:revision>2</cp:revision>
  <dcterms:created xsi:type="dcterms:W3CDTF">2019-04-01T04:08:00Z</dcterms:created>
  <dcterms:modified xsi:type="dcterms:W3CDTF">2019-04-01T04:08:00Z</dcterms:modified>
</cp:coreProperties>
</file>