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79" w:rsidRDefault="0083189B" w:rsidP="00191513">
      <w:pPr>
        <w:rPr>
          <w:rFonts w:ascii="Arial" w:hAnsi="Arial" w:cs="Arial"/>
          <w:b/>
          <w:color w:val="4F81BD" w:themeColor="accent1"/>
          <w:sz w:val="40"/>
          <w:szCs w:val="40"/>
        </w:rPr>
      </w:pPr>
      <w:r w:rsidRPr="0083189B">
        <w:rPr>
          <w:rFonts w:ascii="Arial" w:hAnsi="Arial" w:cs="Arial"/>
          <w:b/>
          <w:noProof/>
          <w:color w:val="4F81BD" w:themeColor="accent1"/>
          <w:sz w:val="40"/>
          <w:szCs w:val="40"/>
          <w:lang w:val="en-US" w:eastAsia="zh-TW"/>
        </w:rPr>
        <w:pict>
          <v:shapetype id="_x0000_t202" coordsize="21600,21600" o:spt="202" path="m,l,21600r21600,l21600,xe">
            <v:stroke joinstyle="miter"/>
            <v:path gradientshapeok="t" o:connecttype="rect"/>
          </v:shapetype>
          <v:shape id="_x0000_s1078" type="#_x0000_t202" style="position:absolute;margin-left:-57.45pt;margin-top:-66pt;width:221.2pt;height:34.55pt;z-index:251668480;mso-width-relative:margin;mso-height-relative:margin" strokecolor="white [3212]">
            <v:textbox>
              <w:txbxContent>
                <w:p w:rsidR="00692FF6" w:rsidRPr="00692FF6" w:rsidRDefault="00692FF6" w:rsidP="00692FF6">
                  <w:pPr>
                    <w:rPr>
                      <w:lang w:val="en-NZ"/>
                    </w:rPr>
                  </w:pPr>
                  <w:r w:rsidRPr="00692FF6">
                    <w:rPr>
                      <w:b/>
                    </w:rPr>
                    <w:t xml:space="preserve">                                                           FOR ADVISORY GROUP USE ONLY                                                                              </w:t>
                  </w:r>
                </w:p>
                <w:p w:rsidR="00692FF6" w:rsidRDefault="00692FF6"/>
              </w:txbxContent>
            </v:textbox>
          </v:shape>
        </w:pict>
      </w:r>
      <w:r w:rsidR="001D6579" w:rsidRPr="001D6579">
        <w:rPr>
          <w:rFonts w:ascii="Arial" w:hAnsi="Arial" w:cs="Arial"/>
          <w:b/>
          <w:noProof/>
          <w:color w:val="4F81BD" w:themeColor="accent1"/>
          <w:sz w:val="40"/>
          <w:szCs w:val="40"/>
          <w:lang w:val="en-NZ" w:eastAsia="en-NZ"/>
        </w:rPr>
        <w:drawing>
          <wp:anchor distT="0" distB="0" distL="114300" distR="114300" simplePos="0" relativeHeight="251663359" behindDoc="0" locked="0" layoutInCell="1" allowOverlap="1">
            <wp:simplePos x="0" y="0"/>
            <wp:positionH relativeFrom="column">
              <wp:posOffset>-266700</wp:posOffset>
            </wp:positionH>
            <wp:positionV relativeFrom="paragraph">
              <wp:posOffset>-561975</wp:posOffset>
            </wp:positionV>
            <wp:extent cx="2657475" cy="676275"/>
            <wp:effectExtent l="19050" t="0" r="9525" b="0"/>
            <wp:wrapSquare wrapText="bothSides"/>
            <wp:docPr id="5" name="Picture 0" descr="LOGO Ministry of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inistry of Education.JPG"/>
                    <pic:cNvPicPr>
                      <a:picLocks noChangeAspect="1" noChangeArrowheads="1"/>
                    </pic:cNvPicPr>
                  </pic:nvPicPr>
                  <pic:blipFill>
                    <a:blip r:embed="rId8" cstate="print"/>
                    <a:srcRect/>
                    <a:stretch>
                      <a:fillRect/>
                    </a:stretch>
                  </pic:blipFill>
                  <pic:spPr bwMode="auto">
                    <a:xfrm>
                      <a:off x="0" y="0"/>
                      <a:ext cx="2657475" cy="676275"/>
                    </a:xfrm>
                    <a:prstGeom prst="rect">
                      <a:avLst/>
                    </a:prstGeom>
                    <a:noFill/>
                    <a:ln w="9525">
                      <a:noFill/>
                      <a:miter lim="800000"/>
                      <a:headEnd/>
                      <a:tailEnd/>
                    </a:ln>
                  </pic:spPr>
                </pic:pic>
              </a:graphicData>
            </a:graphic>
          </wp:anchor>
        </w:drawing>
      </w:r>
      <w:r w:rsidR="001D6579" w:rsidRPr="001D6579">
        <w:rPr>
          <w:rFonts w:ascii="Arial" w:hAnsi="Arial" w:cs="Arial"/>
          <w:b/>
          <w:noProof/>
          <w:color w:val="4F81BD" w:themeColor="accent1"/>
          <w:sz w:val="40"/>
          <w:szCs w:val="40"/>
          <w:lang w:val="en-NZ" w:eastAsia="en-NZ"/>
        </w:rPr>
        <w:drawing>
          <wp:anchor distT="0" distB="0" distL="114300" distR="114300" simplePos="0" relativeHeight="251664384" behindDoc="1" locked="0" layoutInCell="1" allowOverlap="1">
            <wp:simplePos x="0" y="0"/>
            <wp:positionH relativeFrom="page">
              <wp:posOffset>5476875</wp:posOffset>
            </wp:positionH>
            <wp:positionV relativeFrom="page">
              <wp:posOffset>-114300</wp:posOffset>
            </wp:positionV>
            <wp:extent cx="2188210" cy="1647825"/>
            <wp:effectExtent l="0" t="0" r="254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288" b="82629"/>
                    <a:stretch>
                      <a:fillRect/>
                    </a:stretch>
                  </pic:blipFill>
                  <pic:spPr bwMode="auto">
                    <a:xfrm>
                      <a:off x="0" y="0"/>
                      <a:ext cx="2188210" cy="1643380"/>
                    </a:xfrm>
                    <a:prstGeom prst="rect">
                      <a:avLst/>
                    </a:prstGeom>
                    <a:noFill/>
                  </pic:spPr>
                </pic:pic>
              </a:graphicData>
            </a:graphic>
          </wp:anchor>
        </w:drawing>
      </w: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83189B" w:rsidP="00191513">
      <w:pPr>
        <w:rPr>
          <w:rFonts w:ascii="Arial" w:hAnsi="Arial" w:cs="Arial"/>
          <w:b/>
          <w:color w:val="4F81BD" w:themeColor="accent1"/>
          <w:sz w:val="40"/>
          <w:szCs w:val="40"/>
        </w:rPr>
      </w:pPr>
      <w:r>
        <w:rPr>
          <w:rFonts w:ascii="Arial" w:hAnsi="Arial" w:cs="Arial"/>
          <w:b/>
          <w:noProof/>
          <w:color w:val="4F81BD" w:themeColor="accent1"/>
          <w:sz w:val="40"/>
          <w:szCs w:val="40"/>
          <w:lang w:val="en-NZ" w:eastAsia="en-NZ"/>
        </w:rPr>
        <w:pict>
          <v:shape id="_x0000_s1080" type="#_x0000_t202" style="position:absolute;margin-left:-12pt;margin-top:21.75pt;width:265.5pt;height:22.55pt;z-index:251669504;mso-width-relative:margin;mso-height-relative:margin" strokecolor="white [3212]">
            <v:textbox>
              <w:txbxContent>
                <w:p w:rsidR="00EC0DBB" w:rsidRPr="00692FF6" w:rsidRDefault="00EC0DBB" w:rsidP="00EC0DBB">
                  <w:pPr>
                    <w:rPr>
                      <w:lang w:val="en-NZ"/>
                    </w:rPr>
                  </w:pPr>
                  <w:r>
                    <w:rPr>
                      <w:b/>
                    </w:rPr>
                    <w:t xml:space="preserve">  DRAFT – NOT GOVERNMENT POLICY</w:t>
                  </w:r>
                </w:p>
                <w:p w:rsidR="00EC0DBB" w:rsidRDefault="00EC0DBB" w:rsidP="00EC0DBB"/>
              </w:txbxContent>
            </v:textbox>
          </v:shape>
        </w:pict>
      </w: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FE196D" w:rsidRDefault="00FE196D" w:rsidP="00191513">
      <w:pPr>
        <w:rPr>
          <w:rFonts w:ascii="Arial" w:hAnsi="Arial" w:cs="Arial"/>
          <w:b/>
          <w:color w:val="4F81BD" w:themeColor="accent1"/>
          <w:sz w:val="40"/>
          <w:szCs w:val="40"/>
        </w:rPr>
      </w:pPr>
    </w:p>
    <w:p w:rsidR="001D6579" w:rsidRPr="00DA5303" w:rsidRDefault="001D6579" w:rsidP="001D6579">
      <w:pPr>
        <w:pStyle w:val="Heading1"/>
        <w:spacing w:before="240"/>
        <w:jc w:val="right"/>
        <w:rPr>
          <w:rFonts w:cs="Arial"/>
          <w:color w:val="000000" w:themeColor="text1"/>
          <w:sz w:val="28"/>
          <w:szCs w:val="28"/>
        </w:rPr>
      </w:pPr>
      <w:r w:rsidRPr="00DA5303">
        <w:rPr>
          <w:rFonts w:cs="Arial"/>
          <w:color w:val="000000" w:themeColor="text1"/>
          <w:sz w:val="28"/>
          <w:szCs w:val="28"/>
        </w:rPr>
        <w:t xml:space="preserve">Review of Funding Systems </w:t>
      </w:r>
    </w:p>
    <w:p w:rsidR="001D6579" w:rsidRPr="00DA5303" w:rsidRDefault="001D6579" w:rsidP="001D6579">
      <w:pPr>
        <w:pStyle w:val="Heading1"/>
        <w:spacing w:before="240"/>
        <w:jc w:val="right"/>
        <w:rPr>
          <w:rFonts w:cs="Arial"/>
          <w:color w:val="000000" w:themeColor="text1"/>
          <w:sz w:val="28"/>
          <w:szCs w:val="28"/>
        </w:rPr>
      </w:pPr>
      <w:r w:rsidRPr="00DA5303">
        <w:rPr>
          <w:rFonts w:cs="Arial"/>
          <w:color w:val="000000" w:themeColor="text1"/>
          <w:sz w:val="28"/>
          <w:szCs w:val="28"/>
        </w:rPr>
        <w:t>Background paper for Advisory Group</w:t>
      </w:r>
    </w:p>
    <w:p w:rsidR="001D6579" w:rsidRPr="00C85B25" w:rsidRDefault="001D6579" w:rsidP="001D6579">
      <w:pPr>
        <w:rPr>
          <w:rFonts w:ascii="Arial" w:hAnsi="Arial" w:cs="Arial"/>
          <w:color w:val="000000" w:themeColor="text1"/>
        </w:rPr>
      </w:pPr>
    </w:p>
    <w:p w:rsidR="001D6579" w:rsidRPr="00C85B25" w:rsidRDefault="001D6579" w:rsidP="001D6579">
      <w:pPr>
        <w:rPr>
          <w:rFonts w:ascii="Arial" w:hAnsi="Arial" w:cs="Arial"/>
          <w:color w:val="000000" w:themeColor="text1"/>
        </w:rPr>
      </w:pPr>
    </w:p>
    <w:p w:rsidR="001D6579" w:rsidRPr="00C85B25" w:rsidRDefault="001D6579" w:rsidP="001D6579">
      <w:pPr>
        <w:pStyle w:val="BodyText"/>
        <w:jc w:val="right"/>
        <w:rPr>
          <w:rFonts w:cs="Arial"/>
          <w:b/>
          <w:color w:val="000000" w:themeColor="text1"/>
          <w:sz w:val="40"/>
          <w:szCs w:val="40"/>
        </w:rPr>
      </w:pPr>
      <w:r>
        <w:rPr>
          <w:rFonts w:cs="Arial"/>
          <w:b/>
          <w:color w:val="000000" w:themeColor="text1"/>
          <w:sz w:val="40"/>
          <w:szCs w:val="40"/>
        </w:rPr>
        <w:t>Property and property-related services</w:t>
      </w:r>
    </w:p>
    <w:p w:rsidR="001D6579" w:rsidRPr="00C85B25" w:rsidRDefault="001D6579" w:rsidP="001D6579">
      <w:pPr>
        <w:pStyle w:val="BodyText"/>
        <w:jc w:val="right"/>
        <w:rPr>
          <w:rFonts w:cs="Arial"/>
          <w:b/>
          <w:color w:val="0070C0"/>
          <w:sz w:val="40"/>
          <w:szCs w:val="40"/>
        </w:rPr>
      </w:pPr>
    </w:p>
    <w:p w:rsidR="001D6579" w:rsidRPr="00C85B25" w:rsidRDefault="001D6579" w:rsidP="001D6579">
      <w:pPr>
        <w:pStyle w:val="BodyText"/>
        <w:jc w:val="right"/>
        <w:rPr>
          <w:rFonts w:cs="Arial"/>
          <w:b/>
          <w:color w:val="0070C0"/>
          <w:sz w:val="40"/>
          <w:szCs w:val="40"/>
        </w:rPr>
      </w:pPr>
    </w:p>
    <w:p w:rsidR="001D6579" w:rsidRPr="00C85B25" w:rsidRDefault="001D6579" w:rsidP="001D6579">
      <w:pPr>
        <w:pStyle w:val="BodyText"/>
        <w:jc w:val="right"/>
        <w:rPr>
          <w:rFonts w:cs="Arial"/>
          <w:b/>
          <w:color w:val="0070C0"/>
          <w:sz w:val="40"/>
          <w:szCs w:val="40"/>
        </w:rPr>
      </w:pPr>
    </w:p>
    <w:p w:rsidR="001D6579" w:rsidRPr="00C85B25" w:rsidRDefault="001D6579" w:rsidP="001D6579">
      <w:pPr>
        <w:pStyle w:val="BodyText"/>
        <w:jc w:val="right"/>
        <w:rPr>
          <w:rFonts w:cs="Arial"/>
          <w:b/>
          <w:color w:val="0070C0"/>
          <w:sz w:val="40"/>
          <w:szCs w:val="40"/>
        </w:rPr>
      </w:pPr>
    </w:p>
    <w:p w:rsidR="001D6579" w:rsidRPr="00C85B25" w:rsidRDefault="001D6579" w:rsidP="001D6579">
      <w:pPr>
        <w:pStyle w:val="BodyText"/>
        <w:jc w:val="right"/>
        <w:rPr>
          <w:rFonts w:cs="Arial"/>
          <w:b/>
          <w:color w:val="0070C0"/>
          <w:sz w:val="40"/>
          <w:szCs w:val="40"/>
        </w:rPr>
      </w:pPr>
    </w:p>
    <w:p w:rsidR="001D6579" w:rsidRPr="00C85B25" w:rsidRDefault="001D6579" w:rsidP="001D6579">
      <w:pPr>
        <w:pStyle w:val="BodyText"/>
        <w:jc w:val="right"/>
        <w:rPr>
          <w:rFonts w:cs="Arial"/>
          <w:b/>
          <w:color w:val="0070C0"/>
          <w:sz w:val="40"/>
          <w:szCs w:val="40"/>
        </w:rPr>
      </w:pPr>
    </w:p>
    <w:p w:rsidR="001D6579" w:rsidRPr="00C85B25" w:rsidRDefault="001D6579" w:rsidP="001D6579">
      <w:pPr>
        <w:pStyle w:val="BodyText"/>
        <w:jc w:val="right"/>
        <w:rPr>
          <w:rFonts w:cs="Arial"/>
        </w:rPr>
      </w:pPr>
    </w:p>
    <w:p w:rsidR="001D6579" w:rsidRPr="00C85B25" w:rsidRDefault="008E4186" w:rsidP="001D6579">
      <w:pPr>
        <w:pStyle w:val="BodyText"/>
        <w:jc w:val="right"/>
        <w:rPr>
          <w:rFonts w:cs="Arial"/>
        </w:rPr>
      </w:pPr>
      <w:r>
        <w:rPr>
          <w:rFonts w:cs="Arial"/>
        </w:rPr>
        <w:t>24</w:t>
      </w:r>
      <w:r w:rsidR="001D6579" w:rsidRPr="00C85B25">
        <w:rPr>
          <w:rFonts w:cs="Arial"/>
        </w:rPr>
        <w:t xml:space="preserve"> June 2016</w:t>
      </w:r>
    </w:p>
    <w:p w:rsidR="001D6579" w:rsidRDefault="001D6579" w:rsidP="001D6579">
      <w:pPr>
        <w:rPr>
          <w:rFonts w:ascii="Arial" w:hAnsi="Arial" w:cs="Arial"/>
          <w:b/>
          <w:color w:val="4F81BD" w:themeColor="accent1"/>
          <w:sz w:val="40"/>
          <w:szCs w:val="40"/>
        </w:rPr>
      </w:pPr>
      <w:r>
        <w:rPr>
          <w:rFonts w:cs="Arial"/>
          <w:sz w:val="22"/>
          <w:szCs w:val="22"/>
        </w:rPr>
        <w:br w:type="column"/>
      </w: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1D6579" w:rsidRDefault="001D6579" w:rsidP="00191513">
      <w:pPr>
        <w:rPr>
          <w:rFonts w:ascii="Arial" w:hAnsi="Arial" w:cs="Arial"/>
          <w:b/>
          <w:color w:val="4F81BD" w:themeColor="accent1"/>
          <w:sz w:val="40"/>
          <w:szCs w:val="40"/>
        </w:rPr>
      </w:pPr>
    </w:p>
    <w:p w:rsidR="00DD2EE0" w:rsidRPr="00684790" w:rsidRDefault="00DD2EE0" w:rsidP="00DD2EE0">
      <w:pPr>
        <w:jc w:val="both"/>
        <w:rPr>
          <w:rFonts w:ascii="Arial" w:hAnsi="Arial" w:cs="Arial"/>
          <w:b/>
          <w:color w:val="4F81BD" w:themeColor="accent1"/>
          <w:sz w:val="40"/>
          <w:szCs w:val="40"/>
        </w:rPr>
      </w:pPr>
      <w:r w:rsidRPr="00684790">
        <w:rPr>
          <w:rFonts w:ascii="Arial" w:hAnsi="Arial" w:cs="Arial"/>
          <w:b/>
          <w:color w:val="4F81BD" w:themeColor="accent1"/>
          <w:sz w:val="40"/>
          <w:szCs w:val="40"/>
        </w:rPr>
        <w:lastRenderedPageBreak/>
        <w:t>Review of Funding Systems: Property and property-related services</w:t>
      </w:r>
    </w:p>
    <w:p w:rsidR="00DD2EE0" w:rsidRPr="0002727E" w:rsidRDefault="00DD2EE0" w:rsidP="00DD2EE0">
      <w:pPr>
        <w:pStyle w:val="BlueSubheading3"/>
        <w:spacing w:after="0"/>
        <w:jc w:val="both"/>
        <w:rPr>
          <w:rFonts w:cs="Arial"/>
          <w:sz w:val="24"/>
          <w:szCs w:val="24"/>
        </w:rPr>
      </w:pPr>
      <w:r w:rsidRPr="00684790">
        <w:rPr>
          <w:sz w:val="24"/>
          <w:szCs w:val="24"/>
        </w:rPr>
        <w:t>Introduction</w:t>
      </w:r>
      <w:r w:rsidRPr="00684790">
        <w:rPr>
          <w:sz w:val="24"/>
          <w:szCs w:val="24"/>
        </w:rPr>
        <w:br/>
      </w:r>
    </w:p>
    <w:p w:rsidR="00DD2EE0" w:rsidRDefault="00FE196D" w:rsidP="00DD2EE0">
      <w:pPr>
        <w:pStyle w:val="TRNormal"/>
        <w:ind w:left="0" w:firstLine="0"/>
        <w:jc w:val="both"/>
        <w:rPr>
          <w:rFonts w:cs="Arial"/>
          <w:szCs w:val="22"/>
        </w:rPr>
      </w:pPr>
      <w:r>
        <w:rPr>
          <w:rFonts w:cs="Arial"/>
          <w:szCs w:val="22"/>
        </w:rPr>
        <w:t>This proposal</w:t>
      </w:r>
      <w:r w:rsidR="00DD2EE0">
        <w:rPr>
          <w:rFonts w:cs="Arial"/>
          <w:szCs w:val="22"/>
        </w:rPr>
        <w:t xml:space="preserve"> is focussed on operational funding for property and property-related services, particularly funding currently provided as part of operational grant. </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Funding for utilities, currently provided via the Heat, Light and Water component of the operational grant, is in scope due to the connections between building design/systems and utilities use. </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The allocation of capital funding (eg Five Year Agreement funding) is out of scope, but the Review of Funding Systems will consider how operating and capital funding can be better aligned to ensure better whole-of-life decision making and minimising whole-of-life costs for school property assets.</w:t>
      </w:r>
      <w:r w:rsidRPr="00766D64">
        <w:rPr>
          <w:rFonts w:cs="Arial"/>
          <w:szCs w:val="22"/>
        </w:rPr>
        <w:t xml:space="preserve"> </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The Review provides a timely opportunity to investigate whether a closer connection between the funding and management of property and utilities operational costs will lead to better outcomes.</w:t>
      </w:r>
    </w:p>
    <w:p w:rsidR="00DD2EE0" w:rsidRDefault="00DD2EE0" w:rsidP="00DD2EE0">
      <w:pPr>
        <w:pStyle w:val="BlueSubheading3"/>
        <w:spacing w:after="0"/>
        <w:jc w:val="both"/>
        <w:rPr>
          <w:sz w:val="24"/>
          <w:szCs w:val="24"/>
        </w:rPr>
      </w:pPr>
      <w:r w:rsidRPr="0002727E">
        <w:rPr>
          <w:sz w:val="24"/>
          <w:szCs w:val="24"/>
        </w:rPr>
        <w:t>Overview</w:t>
      </w:r>
    </w:p>
    <w:p w:rsidR="00DD2EE0" w:rsidRPr="0002727E" w:rsidRDefault="00DD2EE0" w:rsidP="00DD2EE0">
      <w:pPr>
        <w:pStyle w:val="BlueSubheading3"/>
        <w:spacing w:before="0" w:after="0"/>
        <w:jc w:val="both"/>
        <w:rPr>
          <w:sz w:val="24"/>
          <w:szCs w:val="24"/>
        </w:rPr>
      </w:pPr>
    </w:p>
    <w:p w:rsidR="00DD2EE0" w:rsidRDefault="00DD2EE0" w:rsidP="00DD2EE0">
      <w:pPr>
        <w:pStyle w:val="TRNormal"/>
        <w:ind w:left="0" w:firstLine="0"/>
        <w:jc w:val="both"/>
        <w:rPr>
          <w:rFonts w:cs="Arial"/>
          <w:szCs w:val="22"/>
        </w:rPr>
      </w:pPr>
      <w:r>
        <w:rPr>
          <w:rFonts w:cs="Arial"/>
          <w:szCs w:val="22"/>
        </w:rPr>
        <w:t xml:space="preserve">Under Tomorrow’s Schools, </w:t>
      </w:r>
      <w:r w:rsidRPr="00D53A98">
        <w:rPr>
          <w:rFonts w:cs="Arial"/>
          <w:szCs w:val="22"/>
        </w:rPr>
        <w:t xml:space="preserve">boards of trustees are accountable for both educational and asset management </w:t>
      </w:r>
      <w:r>
        <w:rPr>
          <w:rFonts w:cs="Arial"/>
          <w:szCs w:val="22"/>
        </w:rPr>
        <w:t xml:space="preserve">outcomes. Funding systems, particularly regarding operational expenditure, currently provide significant flexibility for boards of trustees to determine how much to spend on asset management and how much on educational initiatives. </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The current arrangements mean that boards of trustees and principals must trade off time and money spent on property management with time and money spent on educational outcomes. In addition, the current arrangements have not led to consistently good asset management outcomes and the Ministry of Education has not been asked to view operational property costs in any other way than as a funder.  </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In the context of wider changes contemplated to funding systems, a greater focus on funding on a per student basis presents a challenge when thinking about infrastructure funding, as the size of the roll may not be a significant factor in asset and utilities management costs.</w:t>
      </w:r>
    </w:p>
    <w:p w:rsidR="00DD2EE0" w:rsidRDefault="00DD2EE0" w:rsidP="00DD2EE0">
      <w:pPr>
        <w:pStyle w:val="TRNormal"/>
        <w:ind w:left="0" w:firstLine="0"/>
        <w:jc w:val="both"/>
      </w:pPr>
    </w:p>
    <w:p w:rsidR="00DD2EE0" w:rsidRDefault="00DD2EE0" w:rsidP="00DD2EE0">
      <w:pPr>
        <w:pStyle w:val="TRNormal"/>
        <w:ind w:left="0" w:firstLine="0"/>
        <w:jc w:val="both"/>
      </w:pPr>
      <w:r>
        <w:t>One option is that funding for some property-related expenses are removed from the operational grant (or Global Budget, if progressed) and ‘ring-fenced’ so that the funding must be spent on specific activities.</w:t>
      </w:r>
    </w:p>
    <w:p w:rsidR="00DD2EE0" w:rsidRDefault="00DD2EE0" w:rsidP="00DD2EE0">
      <w:pPr>
        <w:jc w:val="both"/>
        <w:rPr>
          <w:rFonts w:ascii="Arial" w:hAnsi="Arial" w:cs="Arial"/>
          <w:sz w:val="22"/>
          <w:szCs w:val="22"/>
        </w:rPr>
      </w:pPr>
    </w:p>
    <w:p w:rsidR="00DD2EE0" w:rsidRDefault="00DD2EE0" w:rsidP="00DD2EE0">
      <w:pPr>
        <w:pStyle w:val="TRNormal"/>
        <w:ind w:left="0" w:firstLine="0"/>
        <w:jc w:val="both"/>
      </w:pPr>
      <w:r>
        <w:t>Some property-related services are currently centrally managed (eg Building Warrants of Fitness) and as part of this work we are considering what other elements might be better centrally managed to better leverage the size of the portfolio and lessen the burden of property management on boards and school leaders.</w:t>
      </w:r>
    </w:p>
    <w:p w:rsidR="00DD2EE0" w:rsidRDefault="00DD2EE0" w:rsidP="00DD2EE0">
      <w:pPr>
        <w:pStyle w:val="TRNormal"/>
        <w:ind w:left="0" w:firstLine="0"/>
        <w:jc w:val="both"/>
      </w:pPr>
    </w:p>
    <w:p w:rsidR="00DD2EE0" w:rsidRDefault="00DD2EE0" w:rsidP="00DD2EE0">
      <w:pPr>
        <w:pStyle w:val="TRNormal"/>
        <w:ind w:left="0" w:firstLine="0"/>
        <w:jc w:val="both"/>
      </w:pPr>
      <w:r>
        <w:t>Across operational property-related funding, the Ministry has very limited operational and or management data. One of the key objectives of this work is to increase our understanding from the perspective of all stakeholders.</w:t>
      </w:r>
    </w:p>
    <w:p w:rsidR="00DD2EE0" w:rsidRDefault="00DD2EE0" w:rsidP="00DD2EE0">
      <w:pPr>
        <w:jc w:val="both"/>
        <w:rPr>
          <w:rFonts w:ascii="Arial" w:hAnsi="Arial" w:cs="Arial"/>
          <w:sz w:val="22"/>
          <w:szCs w:val="22"/>
        </w:rPr>
      </w:pPr>
    </w:p>
    <w:p w:rsidR="00DD2EE0" w:rsidRDefault="00DD2EE0" w:rsidP="00DD2EE0">
      <w:pPr>
        <w:pStyle w:val="BlueSubheading3"/>
        <w:spacing w:after="0"/>
        <w:jc w:val="both"/>
        <w:rPr>
          <w:sz w:val="24"/>
          <w:szCs w:val="24"/>
        </w:rPr>
      </w:pPr>
      <w:r w:rsidRPr="00684790">
        <w:rPr>
          <w:sz w:val="24"/>
          <w:szCs w:val="24"/>
        </w:rPr>
        <w:t>The current state</w:t>
      </w:r>
    </w:p>
    <w:p w:rsidR="00DD2EE0" w:rsidRPr="00684790" w:rsidRDefault="00DD2EE0" w:rsidP="00DD2EE0">
      <w:pPr>
        <w:pStyle w:val="BlueSubheading3"/>
        <w:spacing w:before="0" w:after="0"/>
        <w:jc w:val="both"/>
        <w:rPr>
          <w:sz w:val="24"/>
          <w:szCs w:val="24"/>
        </w:rPr>
      </w:pPr>
    </w:p>
    <w:p w:rsidR="00DD2EE0" w:rsidRDefault="00DD2EE0" w:rsidP="00DD2EE0">
      <w:pPr>
        <w:pStyle w:val="TRNormal"/>
        <w:ind w:left="0" w:firstLine="0"/>
        <w:jc w:val="both"/>
        <w:rPr>
          <w:rFonts w:cs="Arial"/>
          <w:szCs w:val="22"/>
        </w:rPr>
      </w:pPr>
      <w:r>
        <w:rPr>
          <w:rFonts w:cs="Arial"/>
          <w:szCs w:val="22"/>
        </w:rPr>
        <w:t>The operational grant that state and state-integrated schools currently receive includes:</w:t>
      </w:r>
    </w:p>
    <w:p w:rsidR="00DD2EE0" w:rsidRDefault="00DD2EE0" w:rsidP="00DD2EE0">
      <w:pPr>
        <w:pStyle w:val="TRNormal"/>
        <w:numPr>
          <w:ilvl w:val="0"/>
          <w:numId w:val="26"/>
        </w:numPr>
        <w:jc w:val="both"/>
        <w:rPr>
          <w:rFonts w:cs="Arial"/>
          <w:szCs w:val="22"/>
        </w:rPr>
      </w:pPr>
      <w:r>
        <w:rPr>
          <w:rFonts w:cs="Arial"/>
          <w:szCs w:val="22"/>
        </w:rPr>
        <w:lastRenderedPageBreak/>
        <w:t>a Property Maintenance grant (c. $90 m per annum, or 7% of total operational grant funding) - formula based on a limited number of property characteristics of the school);</w:t>
      </w:r>
    </w:p>
    <w:p w:rsidR="00DD2EE0" w:rsidRDefault="00DD2EE0" w:rsidP="00DD2EE0">
      <w:pPr>
        <w:pStyle w:val="TRNormal"/>
        <w:ind w:left="720" w:firstLine="0"/>
        <w:jc w:val="both"/>
        <w:rPr>
          <w:rFonts w:cs="Arial"/>
          <w:szCs w:val="22"/>
        </w:rPr>
      </w:pPr>
    </w:p>
    <w:p w:rsidR="00DD2EE0" w:rsidRDefault="00DD2EE0" w:rsidP="00DD2EE0">
      <w:pPr>
        <w:pStyle w:val="TRNormal"/>
        <w:numPr>
          <w:ilvl w:val="0"/>
          <w:numId w:val="26"/>
        </w:numPr>
        <w:jc w:val="both"/>
        <w:rPr>
          <w:rFonts w:cs="Arial"/>
          <w:szCs w:val="22"/>
        </w:rPr>
      </w:pPr>
      <w:r>
        <w:rPr>
          <w:rFonts w:cs="Arial"/>
          <w:szCs w:val="22"/>
        </w:rPr>
        <w:t>a Heat, Light and Water grant (c. $80 m per annum, or 6% of total operational grant funding) - funding amount for each school was fixed in 2010 based on historic spend, with increases sought through the annual Budget process;</w:t>
      </w:r>
    </w:p>
    <w:p w:rsidR="00DD2EE0" w:rsidRDefault="00DD2EE0" w:rsidP="00DD2EE0">
      <w:pPr>
        <w:pStyle w:val="ListParagraph"/>
        <w:rPr>
          <w:rFonts w:cs="Arial"/>
          <w:szCs w:val="22"/>
        </w:rPr>
      </w:pPr>
    </w:p>
    <w:p w:rsidR="00DD2EE0" w:rsidRDefault="00DD2EE0" w:rsidP="00DD2EE0">
      <w:pPr>
        <w:pStyle w:val="TRNormal"/>
        <w:numPr>
          <w:ilvl w:val="0"/>
          <w:numId w:val="26"/>
        </w:numPr>
        <w:jc w:val="both"/>
        <w:rPr>
          <w:rFonts w:cs="Arial"/>
          <w:szCs w:val="22"/>
        </w:rPr>
      </w:pPr>
      <w:proofErr w:type="gramStart"/>
      <w:r>
        <w:rPr>
          <w:rFonts w:cs="Arial"/>
          <w:szCs w:val="22"/>
        </w:rPr>
        <w:t>a</w:t>
      </w:r>
      <w:proofErr w:type="gramEnd"/>
      <w:r>
        <w:rPr>
          <w:rFonts w:cs="Arial"/>
          <w:szCs w:val="22"/>
        </w:rPr>
        <w:t xml:space="preserve"> Vandalism grant (</w:t>
      </w:r>
      <w:r w:rsidRPr="002B7C84">
        <w:rPr>
          <w:rFonts w:cs="Arial"/>
          <w:szCs w:val="22"/>
        </w:rPr>
        <w:t>c. $8m per annum, or less than 1%</w:t>
      </w:r>
      <w:r>
        <w:rPr>
          <w:rFonts w:cs="Arial"/>
          <w:szCs w:val="22"/>
        </w:rPr>
        <w:t xml:space="preserve"> of total operational grant funding) - based on risk profile of the school.</w:t>
      </w:r>
    </w:p>
    <w:p w:rsidR="00DD2EE0" w:rsidRDefault="00DD2EE0" w:rsidP="00DD2EE0">
      <w:pPr>
        <w:pStyle w:val="TRNormal"/>
        <w:tabs>
          <w:tab w:val="left" w:pos="2505"/>
        </w:tabs>
        <w:ind w:left="720" w:firstLine="0"/>
        <w:jc w:val="both"/>
        <w:rPr>
          <w:rFonts w:cs="Arial"/>
          <w:szCs w:val="22"/>
        </w:rPr>
      </w:pPr>
      <w:r>
        <w:rPr>
          <w:rFonts w:cs="Arial"/>
          <w:szCs w:val="22"/>
        </w:rPr>
        <w:tab/>
      </w:r>
    </w:p>
    <w:p w:rsidR="00DD2EE0" w:rsidRDefault="00DD2EE0" w:rsidP="00DD2EE0">
      <w:pPr>
        <w:pStyle w:val="TRNormal"/>
        <w:ind w:left="0" w:firstLine="0"/>
        <w:jc w:val="both"/>
        <w:rPr>
          <w:rFonts w:cs="Arial"/>
          <w:szCs w:val="22"/>
        </w:rPr>
      </w:pPr>
      <w:r>
        <w:rPr>
          <w:rFonts w:cs="Arial"/>
          <w:szCs w:val="22"/>
        </w:rPr>
        <w:t>Schools do not need to spend these grants on prescribed activities, as the total operational grant is able to be spent at the board’s discretion. Schools are expected to cover other property-related costs, such as cleaning, lawn-mowing, caretaker wages and swimming pool chemicals from operational funding, but these are not part of an explicit component of the operational grant.</w:t>
      </w:r>
    </w:p>
    <w:p w:rsidR="00DD2EE0" w:rsidRDefault="00DD2EE0" w:rsidP="00DD2EE0">
      <w:pPr>
        <w:pStyle w:val="TRNormal"/>
        <w:ind w:left="0" w:firstLine="0"/>
        <w:jc w:val="both"/>
      </w:pPr>
    </w:p>
    <w:p w:rsidR="00DD2EE0" w:rsidRPr="00ED3D9D" w:rsidRDefault="00DD2EE0" w:rsidP="00DD2EE0">
      <w:pPr>
        <w:pStyle w:val="TRNormal"/>
        <w:ind w:left="0" w:firstLine="0"/>
        <w:rPr>
          <w:b/>
          <w:sz w:val="20"/>
        </w:rPr>
      </w:pPr>
      <w:r w:rsidRPr="00ED3D9D">
        <w:rPr>
          <w:b/>
          <w:sz w:val="20"/>
        </w:rPr>
        <w:t xml:space="preserve">Figure 1: Current state of funding for property-related activities: </w:t>
      </w:r>
      <w:r>
        <w:rPr>
          <w:b/>
          <w:sz w:val="20"/>
        </w:rPr>
        <w:t>operational</w:t>
      </w:r>
      <w:r w:rsidRPr="00ED3D9D">
        <w:rPr>
          <w:b/>
          <w:sz w:val="20"/>
        </w:rPr>
        <w:t xml:space="preserve"> grant components</w:t>
      </w:r>
    </w:p>
    <w:p w:rsidR="00DD2EE0" w:rsidRPr="00386FCE" w:rsidRDefault="00DD2EE0" w:rsidP="00DD2EE0">
      <w:pPr>
        <w:pStyle w:val="TRNormal"/>
        <w:ind w:left="0" w:firstLine="0"/>
        <w:rPr>
          <w:sz w:val="20"/>
          <w:u w:val="single"/>
        </w:rPr>
      </w:pPr>
    </w:p>
    <w:p w:rsidR="00DD2EE0" w:rsidRDefault="00DD2EE0" w:rsidP="00DD2EE0">
      <w:pPr>
        <w:pStyle w:val="TRNormal"/>
        <w:ind w:left="0" w:firstLine="0"/>
        <w:jc w:val="center"/>
      </w:pPr>
      <w:r w:rsidRPr="00766D64">
        <w:rPr>
          <w:noProof/>
          <w:lang w:eastAsia="en-NZ"/>
        </w:rPr>
        <w:drawing>
          <wp:inline distT="0" distB="0" distL="0" distR="0">
            <wp:extent cx="3871912" cy="2405063"/>
            <wp:effectExtent l="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96544" cy="3198549"/>
                      <a:chOff x="107504" y="404664"/>
                      <a:chExt cx="4896544" cy="3198549"/>
                    </a:xfrm>
                  </a:grpSpPr>
                  <a:sp>
                    <a:nvSpPr>
                      <a:cNvPr id="4" name="Oval 3"/>
                      <a:cNvSpPr/>
                    </a:nvSpPr>
                    <a:spPr>
                      <a:xfrm>
                        <a:off x="683568" y="404664"/>
                        <a:ext cx="2592288" cy="2448272"/>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Oval 5"/>
                      <a:cNvSpPr/>
                    </a:nvSpPr>
                    <a:spPr>
                      <a:xfrm>
                        <a:off x="971600" y="1628800"/>
                        <a:ext cx="576064" cy="57606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3">
                          <a:shade val="50000"/>
                        </a:schemeClr>
                      </a:lnRef>
                      <a:fillRef idx="1">
                        <a:schemeClr val="accent3"/>
                      </a:fillRef>
                      <a:effectRef idx="0">
                        <a:schemeClr val="accent3"/>
                      </a:effectRef>
                      <a:fontRef idx="minor">
                        <a:schemeClr val="lt1"/>
                      </a:fontRef>
                    </a:style>
                  </a:sp>
                  <a:sp>
                    <a:nvSpPr>
                      <a:cNvPr id="7" name="Oval 6"/>
                      <a:cNvSpPr/>
                    </a:nvSpPr>
                    <a:spPr>
                      <a:xfrm>
                        <a:off x="2555776" y="1628800"/>
                        <a:ext cx="504056" cy="504056"/>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6">
                          <a:shade val="50000"/>
                        </a:schemeClr>
                      </a:lnRef>
                      <a:fillRef idx="1">
                        <a:schemeClr val="accent6"/>
                      </a:fillRef>
                      <a:effectRef idx="0">
                        <a:schemeClr val="accent6"/>
                      </a:effectRef>
                      <a:fontRef idx="minor">
                        <a:schemeClr val="lt1"/>
                      </a:fontRef>
                    </a:style>
                  </a:sp>
                  <a:sp>
                    <a:nvSpPr>
                      <a:cNvPr id="8" name="Oval 7"/>
                      <a:cNvSpPr/>
                    </a:nvSpPr>
                    <a:spPr>
                      <a:xfrm>
                        <a:off x="1907704" y="2348880"/>
                        <a:ext cx="216024" cy="21602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2">
                          <a:shade val="50000"/>
                        </a:schemeClr>
                      </a:lnRef>
                      <a:fillRef idx="1">
                        <a:schemeClr val="accent2"/>
                      </a:fillRef>
                      <a:effectRef idx="0">
                        <a:schemeClr val="accent2"/>
                      </a:effectRef>
                      <a:fontRef idx="minor">
                        <a:schemeClr val="lt1"/>
                      </a:fontRef>
                    </a:style>
                  </a:sp>
                  <a:sp>
                    <a:nvSpPr>
                      <a:cNvPr id="9" name="TextBox 8"/>
                      <a:cNvSpPr txBox="1"/>
                    </a:nvSpPr>
                    <a:spPr>
                      <a:xfrm>
                        <a:off x="107504" y="2996952"/>
                        <a:ext cx="171393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000" b="1" dirty="0" smtClean="0">
                              <a:solidFill>
                                <a:schemeClr val="accent3"/>
                              </a:solidFill>
                            </a:rPr>
                            <a:t>Property Maintenance Grant</a:t>
                          </a:r>
                          <a:endParaRPr lang="en-NZ" sz="1000" b="1" dirty="0">
                            <a:solidFill>
                              <a:schemeClr val="accent3"/>
                            </a:solidFill>
                          </a:endParaRPr>
                        </a:p>
                      </a:txBody>
                      <a:useSpRect/>
                    </a:txSp>
                  </a:sp>
                  <a:sp>
                    <a:nvSpPr>
                      <a:cNvPr id="11" name="TextBox 10"/>
                      <a:cNvSpPr txBox="1"/>
                    </a:nvSpPr>
                    <a:spPr>
                      <a:xfrm>
                        <a:off x="1331640" y="3356992"/>
                        <a:ext cx="1074333"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000" b="1" dirty="0" smtClean="0">
                              <a:solidFill>
                                <a:schemeClr val="accent2"/>
                              </a:solidFill>
                            </a:rPr>
                            <a:t>Vandalism Grant</a:t>
                          </a:r>
                          <a:endParaRPr lang="en-NZ" sz="1000" b="1" dirty="0">
                            <a:solidFill>
                              <a:schemeClr val="accent2"/>
                            </a:solidFill>
                          </a:endParaRPr>
                        </a:p>
                      </a:txBody>
                      <a:useSpRect/>
                    </a:txSp>
                  </a:sp>
                  <a:sp>
                    <a:nvSpPr>
                      <a:cNvPr id="13" name="TextBox 12"/>
                      <a:cNvSpPr txBox="1"/>
                    </a:nvSpPr>
                    <a:spPr>
                      <a:xfrm>
                        <a:off x="2195736" y="2996952"/>
                        <a:ext cx="131799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000" b="1" dirty="0" smtClean="0">
                              <a:solidFill>
                                <a:schemeClr val="accent6"/>
                              </a:solidFill>
                            </a:rPr>
                            <a:t>Heat Light and Water</a:t>
                          </a:r>
                          <a:endParaRPr lang="en-NZ" sz="1000" b="1" dirty="0">
                            <a:solidFill>
                              <a:schemeClr val="accent6"/>
                            </a:solidFill>
                          </a:endParaRPr>
                        </a:p>
                      </a:txBody>
                      <a:useSpRect/>
                    </a:txSp>
                  </a:sp>
                  <a:cxnSp>
                    <a:nvCxnSpPr>
                      <a:cNvPr id="15" name="Straight Arrow Connector 14"/>
                      <a:cNvCxnSpPr/>
                    </a:nvCxnSpPr>
                    <a:spPr>
                      <a:xfrm flipV="1">
                        <a:off x="1187624" y="2276872"/>
                        <a:ext cx="0" cy="648072"/>
                      </a:xfrm>
                      <a:prstGeom prst="straightConnector1">
                        <a:avLst/>
                      </a:prstGeom>
                      <a:ln>
                        <a:tailEnd type="arrow"/>
                      </a:ln>
                    </a:spPr>
                    <a:style>
                      <a:lnRef idx="3">
                        <a:schemeClr val="accent3"/>
                      </a:lnRef>
                      <a:fillRef idx="0">
                        <a:schemeClr val="accent3"/>
                      </a:fillRef>
                      <a:effectRef idx="2">
                        <a:schemeClr val="accent3"/>
                      </a:effectRef>
                      <a:fontRef idx="minor">
                        <a:schemeClr val="tx1"/>
                      </a:fontRef>
                    </a:style>
                  </a:cxnSp>
                  <a:cxnSp>
                    <a:nvCxnSpPr>
                      <a:cNvPr id="17" name="Straight Arrow Connector 16"/>
                      <a:cNvCxnSpPr/>
                    </a:nvCxnSpPr>
                    <a:spPr>
                      <a:xfrm flipV="1">
                        <a:off x="2005420" y="2636912"/>
                        <a:ext cx="0" cy="720080"/>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19" name="Straight Arrow Connector 18"/>
                      <a:cNvCxnSpPr/>
                    </a:nvCxnSpPr>
                    <a:spPr>
                      <a:xfrm flipV="1">
                        <a:off x="2771800" y="2204864"/>
                        <a:ext cx="0" cy="720080"/>
                      </a:xfrm>
                      <a:prstGeom prst="straightConnector1">
                        <a:avLst/>
                      </a:prstGeom>
                      <a:ln>
                        <a:tailEnd type="arrow"/>
                      </a:ln>
                    </a:spPr>
                    <a:style>
                      <a:lnRef idx="3">
                        <a:schemeClr val="accent6"/>
                      </a:lnRef>
                      <a:fillRef idx="0">
                        <a:schemeClr val="accent6"/>
                      </a:fillRef>
                      <a:effectRef idx="2">
                        <a:schemeClr val="accent6"/>
                      </a:effectRef>
                      <a:fontRef idx="minor">
                        <a:schemeClr val="tx1"/>
                      </a:fontRef>
                    </a:style>
                  </a:cxnSp>
                  <a:sp>
                    <a:nvSpPr>
                      <a:cNvPr id="22" name="TextBox 21"/>
                      <a:cNvSpPr txBox="1"/>
                    </a:nvSpPr>
                    <a:spPr>
                      <a:xfrm>
                        <a:off x="1259632" y="692696"/>
                        <a:ext cx="1531125" cy="307777"/>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400" b="1" dirty="0" smtClean="0">
                              <a:solidFill>
                                <a:schemeClr val="bg1"/>
                              </a:solidFill>
                            </a:rPr>
                            <a:t>Operational Grant</a:t>
                          </a:r>
                          <a:endParaRPr lang="en-NZ" sz="1400" b="1" dirty="0">
                            <a:solidFill>
                              <a:schemeClr val="bg1"/>
                            </a:solidFill>
                          </a:endParaRPr>
                        </a:p>
                      </a:txBody>
                      <a:useSpRect/>
                    </a:txSp>
                  </a:sp>
                  <a:cxnSp>
                    <a:nvCxnSpPr>
                      <a:cNvPr id="23" name="Straight Arrow Connector 22"/>
                      <a:cNvCxnSpPr/>
                    </a:nvCxnSpPr>
                    <a:spPr>
                      <a:xfrm flipH="1">
                        <a:off x="2195736" y="1196752"/>
                        <a:ext cx="1224136" cy="0"/>
                      </a:xfrm>
                      <a:prstGeom prst="straightConnector1">
                        <a:avLst/>
                      </a:prstGeom>
                      <a:ln>
                        <a:solidFill>
                          <a:schemeClr val="bg1"/>
                        </a:solidFill>
                        <a:tailEnd type="arrow"/>
                      </a:ln>
                    </a:spPr>
                    <a:style>
                      <a:lnRef idx="3">
                        <a:schemeClr val="accent2"/>
                      </a:lnRef>
                      <a:fillRef idx="0">
                        <a:schemeClr val="accent2"/>
                      </a:fillRef>
                      <a:effectRef idx="2">
                        <a:schemeClr val="accent2"/>
                      </a:effectRef>
                      <a:fontRef idx="minor">
                        <a:schemeClr val="tx1"/>
                      </a:fontRef>
                    </a:style>
                  </a:cxnSp>
                  <a:sp>
                    <a:nvSpPr>
                      <a:cNvPr id="25" name="TextBox 24"/>
                      <a:cNvSpPr txBox="1"/>
                    </a:nvSpPr>
                    <a:spPr>
                      <a:xfrm>
                        <a:off x="3347864" y="1052736"/>
                        <a:ext cx="1656184" cy="116955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000" dirty="0" smtClean="0"/>
                            <a:t>Funding for activities not explicitly covered in PMG, Vandalism or HLW, such as:</a:t>
                          </a:r>
                        </a:p>
                        <a:p>
                          <a:pPr>
                            <a:buFont typeface="Arial" pitchFamily="34" charset="0"/>
                            <a:buChar char="•"/>
                          </a:pPr>
                          <a:r>
                            <a:rPr lang="en-NZ" sz="1000" dirty="0" smtClean="0"/>
                            <a:t> Cleaning</a:t>
                          </a:r>
                        </a:p>
                        <a:p>
                          <a:pPr>
                            <a:buFont typeface="Arial" pitchFamily="34" charset="0"/>
                            <a:buChar char="•"/>
                          </a:pPr>
                          <a:r>
                            <a:rPr lang="en-NZ" sz="1000" dirty="0" smtClean="0"/>
                            <a:t> </a:t>
                          </a:r>
                          <a:r>
                            <a:rPr lang="en-NZ" sz="1000" dirty="0" err="1" smtClean="0"/>
                            <a:t>Lawnmowing</a:t>
                          </a:r>
                          <a:endParaRPr lang="en-NZ" sz="1000" dirty="0" smtClean="0"/>
                        </a:p>
                        <a:p>
                          <a:pPr>
                            <a:buFont typeface="Arial" pitchFamily="34" charset="0"/>
                            <a:buChar char="•"/>
                          </a:pPr>
                          <a:r>
                            <a:rPr lang="en-NZ" sz="1000" dirty="0" smtClean="0"/>
                            <a:t> Caretaker wages</a:t>
                          </a:r>
                        </a:p>
                        <a:p>
                          <a:pPr>
                            <a:buFont typeface="Arial" pitchFamily="34" charset="0"/>
                            <a:buChar char="•"/>
                          </a:pPr>
                          <a:r>
                            <a:rPr lang="en-NZ" sz="1000" dirty="0" smtClean="0"/>
                            <a:t> Swimming pool chemicals</a:t>
                          </a:r>
                          <a:endParaRPr lang="en-NZ" sz="1000" dirty="0"/>
                        </a:p>
                      </a:txBody>
                      <a:useSpRect/>
                    </a:txSp>
                  </a:sp>
                </lc:lockedCanvas>
              </a:graphicData>
            </a:graphic>
          </wp:inline>
        </w:drawing>
      </w:r>
    </w:p>
    <w:p w:rsidR="00DD2EE0" w:rsidRDefault="00DD2EE0" w:rsidP="00DD2EE0">
      <w:pPr>
        <w:pStyle w:val="TRNormal"/>
        <w:ind w:left="0" w:firstLine="0"/>
      </w:pPr>
    </w:p>
    <w:p w:rsidR="00DD2EE0" w:rsidRDefault="00DD2EE0" w:rsidP="00DD2EE0">
      <w:pPr>
        <w:pStyle w:val="TRNormal"/>
        <w:ind w:left="0" w:firstLine="0"/>
        <w:jc w:val="both"/>
      </w:pPr>
      <w:r>
        <w:t>Some property funding for property-related costs is centrally managed by the Ministry in order to leverage the size of the portfolio and/or limit the time schools need to spend on activities not directly related to teaching and learning. For example:</w:t>
      </w:r>
    </w:p>
    <w:p w:rsidR="00DD2EE0" w:rsidRDefault="00DD2EE0" w:rsidP="00DD2EE0">
      <w:pPr>
        <w:pStyle w:val="TRNormal"/>
        <w:ind w:left="0" w:firstLine="0"/>
        <w:jc w:val="both"/>
      </w:pPr>
    </w:p>
    <w:p w:rsidR="00DD2EE0" w:rsidRDefault="00DD2EE0" w:rsidP="00DD2EE0">
      <w:pPr>
        <w:pStyle w:val="TRNormal"/>
        <w:numPr>
          <w:ilvl w:val="0"/>
          <w:numId w:val="29"/>
        </w:numPr>
        <w:spacing w:after="220"/>
        <w:ind w:left="714" w:hanging="357"/>
        <w:jc w:val="both"/>
      </w:pPr>
      <w:r>
        <w:t>Building Warrants of Fitness (</w:t>
      </w:r>
      <w:proofErr w:type="spellStart"/>
      <w:r>
        <w:t>BWoF</w:t>
      </w:r>
      <w:proofErr w:type="spellEnd"/>
      <w:r>
        <w:t xml:space="preserve">) – the Ministry contracts with a supplier on behalf of schools who carries out </w:t>
      </w:r>
      <w:proofErr w:type="spellStart"/>
      <w:r>
        <w:t>BWoF</w:t>
      </w:r>
      <w:proofErr w:type="spellEnd"/>
      <w:r>
        <w:t xml:space="preserve"> compliance activities;</w:t>
      </w:r>
    </w:p>
    <w:p w:rsidR="00DD2EE0" w:rsidRDefault="00DD2EE0" w:rsidP="00DD2EE0">
      <w:pPr>
        <w:pStyle w:val="TRNormal"/>
        <w:numPr>
          <w:ilvl w:val="0"/>
          <w:numId w:val="29"/>
        </w:numPr>
        <w:spacing w:after="220"/>
        <w:ind w:left="714" w:hanging="357"/>
        <w:jc w:val="both"/>
      </w:pPr>
      <w:r>
        <w:t>School buildings insurance – the Ministry negotiates the insurance policy that covers Ministry-owned assets and pays the premium and excess;</w:t>
      </w:r>
    </w:p>
    <w:p w:rsidR="00DD2EE0" w:rsidRDefault="00DD2EE0" w:rsidP="00DD2EE0">
      <w:pPr>
        <w:pStyle w:val="TRNormal"/>
        <w:numPr>
          <w:ilvl w:val="0"/>
          <w:numId w:val="29"/>
        </w:numPr>
        <w:spacing w:after="220"/>
        <w:ind w:left="714" w:hanging="357"/>
        <w:jc w:val="both"/>
      </w:pPr>
      <w:r>
        <w:t>Vandalism top-up – if a school’s annual vandalism costs exceed a specified amount, it can apply to the Ministry for more funding that year;</w:t>
      </w:r>
    </w:p>
    <w:p w:rsidR="00DD2EE0" w:rsidRDefault="00DD2EE0" w:rsidP="00DD2EE0">
      <w:pPr>
        <w:pStyle w:val="TRNormal"/>
        <w:numPr>
          <w:ilvl w:val="0"/>
          <w:numId w:val="29"/>
        </w:numPr>
        <w:spacing w:after="220"/>
        <w:ind w:left="714" w:hanging="357"/>
        <w:jc w:val="both"/>
      </w:pPr>
      <w:r>
        <w:t>Lease payments to iwi for sites that have been transferred as part of a Treaty settlement – the Ministry pays these directly.</w:t>
      </w:r>
    </w:p>
    <w:p w:rsidR="00DD2EE0" w:rsidRDefault="00DD2EE0" w:rsidP="00DD2EE0">
      <w:pPr>
        <w:pStyle w:val="TRNormal"/>
        <w:ind w:left="0" w:firstLine="0"/>
        <w:jc w:val="both"/>
      </w:pPr>
    </w:p>
    <w:p w:rsidR="00DD2EE0" w:rsidRDefault="00DD2EE0" w:rsidP="00DD2EE0">
      <w:pPr>
        <w:pStyle w:val="TRNormal"/>
        <w:ind w:left="0" w:firstLine="0"/>
        <w:jc w:val="both"/>
      </w:pPr>
      <w:r>
        <w:t xml:space="preserve">Aside from these centrally managed activities, the current funding mechanisms in this area revolve around the distribution of money and not the outcomes sought. This results in relatively simple, formulaic approaches (that tend to deviate from underlying cost drivers over time) but a limited understanding of what this quantum of funding actually buys. </w:t>
      </w:r>
    </w:p>
    <w:p w:rsidR="00DD2EE0" w:rsidRDefault="00DD2EE0" w:rsidP="00DD2EE0">
      <w:pPr>
        <w:pStyle w:val="TRNormal"/>
        <w:rPr>
          <w:rFonts w:cs="Arial"/>
          <w:szCs w:val="22"/>
        </w:rPr>
      </w:pPr>
    </w:p>
    <w:p w:rsidR="00DD2EE0" w:rsidRDefault="00DD2EE0" w:rsidP="00DD2EE0">
      <w:pPr>
        <w:pStyle w:val="TRNormal"/>
        <w:ind w:left="0" w:firstLine="0"/>
        <w:jc w:val="both"/>
        <w:rPr>
          <w:rFonts w:cs="Arial"/>
          <w:szCs w:val="22"/>
        </w:rPr>
      </w:pPr>
      <w:r>
        <w:rPr>
          <w:rFonts w:cs="Arial"/>
          <w:szCs w:val="22"/>
        </w:rPr>
        <w:t>Even where a school board has suitable asset management capability, there remain tensions between:</w:t>
      </w:r>
    </w:p>
    <w:p w:rsidR="008E4186" w:rsidRDefault="008E4186" w:rsidP="00DD2EE0">
      <w:pPr>
        <w:pStyle w:val="TRNormal"/>
        <w:ind w:left="0" w:firstLine="0"/>
        <w:jc w:val="both"/>
        <w:rPr>
          <w:rFonts w:cs="Arial"/>
          <w:szCs w:val="22"/>
        </w:rPr>
      </w:pPr>
    </w:p>
    <w:p w:rsidR="00DD2EE0" w:rsidRDefault="00DD2EE0" w:rsidP="00DD2EE0">
      <w:pPr>
        <w:pStyle w:val="TRNormal"/>
        <w:numPr>
          <w:ilvl w:val="0"/>
          <w:numId w:val="25"/>
        </w:numPr>
        <w:spacing w:after="220"/>
        <w:ind w:left="714" w:hanging="357"/>
        <w:jc w:val="both"/>
        <w:rPr>
          <w:rFonts w:cs="Arial"/>
          <w:szCs w:val="22"/>
        </w:rPr>
      </w:pPr>
      <w:proofErr w:type="gramStart"/>
      <w:r>
        <w:rPr>
          <w:rFonts w:cs="Arial"/>
          <w:szCs w:val="22"/>
        </w:rPr>
        <w:t>the</w:t>
      </w:r>
      <w:proofErr w:type="gramEnd"/>
      <w:r>
        <w:rPr>
          <w:rFonts w:cs="Arial"/>
          <w:szCs w:val="22"/>
        </w:rPr>
        <w:t xml:space="preserve"> opportunity cost of time spent on property matters </w:t>
      </w:r>
      <w:r w:rsidRPr="004916FB">
        <w:rPr>
          <w:rFonts w:cs="Arial"/>
          <w:szCs w:val="22"/>
        </w:rPr>
        <w:t>— surveys</w:t>
      </w:r>
      <w:r w:rsidRPr="00A61C76">
        <w:rPr>
          <w:szCs w:val="22"/>
          <w:vertAlign w:val="superscript"/>
        </w:rPr>
        <w:footnoteReference w:id="1"/>
      </w:r>
      <w:r w:rsidRPr="004916FB">
        <w:rPr>
          <w:rFonts w:cs="Arial"/>
          <w:szCs w:val="22"/>
        </w:rPr>
        <w:t xml:space="preserve"> have shown that New Zealand primary school and secondary school principals spend an average of 15%</w:t>
      </w:r>
      <w:r>
        <w:rPr>
          <w:rFonts w:cs="Arial"/>
          <w:szCs w:val="22"/>
        </w:rPr>
        <w:t xml:space="preserve"> </w:t>
      </w:r>
      <w:r w:rsidRPr="004916FB">
        <w:rPr>
          <w:rFonts w:cs="Arial"/>
          <w:szCs w:val="22"/>
        </w:rPr>
        <w:t>a</w:t>
      </w:r>
      <w:r>
        <w:rPr>
          <w:rFonts w:cs="Arial"/>
          <w:szCs w:val="22"/>
        </w:rPr>
        <w:t>nd 9% of their time on property</w:t>
      </w:r>
      <w:r w:rsidRPr="004916FB">
        <w:rPr>
          <w:rFonts w:cs="Arial"/>
          <w:szCs w:val="22"/>
        </w:rPr>
        <w:t xml:space="preserve"> management respectively. </w:t>
      </w:r>
      <w:r w:rsidRPr="00A61C76">
        <w:rPr>
          <w:rFonts w:cs="Arial"/>
          <w:szCs w:val="22"/>
        </w:rPr>
        <w:t>This is a large amount of a professional educator’s time being spent on a non-core activity that they are not trained to perform</w:t>
      </w:r>
      <w:r>
        <w:rPr>
          <w:rFonts w:cs="Arial"/>
          <w:szCs w:val="22"/>
        </w:rPr>
        <w:t>; and</w:t>
      </w:r>
    </w:p>
    <w:p w:rsidR="00DD2EE0" w:rsidRDefault="00DD2EE0" w:rsidP="00DD2EE0">
      <w:pPr>
        <w:pStyle w:val="TRNormal"/>
        <w:numPr>
          <w:ilvl w:val="0"/>
          <w:numId w:val="25"/>
        </w:numPr>
        <w:spacing w:after="220"/>
        <w:ind w:left="714" w:hanging="357"/>
        <w:jc w:val="both"/>
        <w:rPr>
          <w:rFonts w:cs="Arial"/>
          <w:szCs w:val="22"/>
        </w:rPr>
      </w:pPr>
      <w:proofErr w:type="gramStart"/>
      <w:r>
        <w:rPr>
          <w:rFonts w:cs="Arial"/>
          <w:szCs w:val="22"/>
        </w:rPr>
        <w:t>the</w:t>
      </w:r>
      <w:proofErr w:type="gramEnd"/>
      <w:r>
        <w:rPr>
          <w:rFonts w:cs="Arial"/>
          <w:szCs w:val="22"/>
        </w:rPr>
        <w:t xml:space="preserve"> shorter term tenure of board members (3 years) and the long-term focus required for asset management (50+ years).</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sidRPr="00C3550D">
        <w:rPr>
          <w:rFonts w:cs="Arial"/>
          <w:szCs w:val="22"/>
        </w:rPr>
        <w:t xml:space="preserve">The management requirements of the built environment have changed dramatically since Tomorrow’s Schools was enacted in the late </w:t>
      </w:r>
      <w:r>
        <w:rPr>
          <w:rFonts w:cs="Arial"/>
          <w:szCs w:val="22"/>
        </w:rPr>
        <w:t>1980s</w:t>
      </w:r>
      <w:r w:rsidRPr="00C3550D">
        <w:rPr>
          <w:rFonts w:cs="Arial"/>
          <w:szCs w:val="22"/>
        </w:rPr>
        <w:t xml:space="preserve">. There is now a greater amount of legislation involved that property owners and operators need to comply with or risk prosecution. Furthermore, new schools, or significantly redeveloped schools, require more proactive maintenance in order to protect the product warrantees and the taxpayer’s investment in </w:t>
      </w:r>
      <w:r>
        <w:rPr>
          <w:rFonts w:cs="Arial"/>
          <w:szCs w:val="22"/>
        </w:rPr>
        <w:t>these high value facilities</w:t>
      </w:r>
      <w:r w:rsidRPr="00C3550D">
        <w:rPr>
          <w:rFonts w:cs="Arial"/>
          <w:szCs w:val="22"/>
        </w:rPr>
        <w:t>.</w:t>
      </w:r>
    </w:p>
    <w:p w:rsidR="00DD2EE0" w:rsidRDefault="00DD2EE0" w:rsidP="00DD2EE0">
      <w:pPr>
        <w:pStyle w:val="TRNormal"/>
        <w:ind w:left="0" w:firstLine="0"/>
        <w:jc w:val="both"/>
        <w:rPr>
          <w:rFonts w:cs="Arial"/>
          <w:szCs w:val="22"/>
        </w:rPr>
      </w:pPr>
    </w:p>
    <w:p w:rsidR="00DD2EE0" w:rsidRPr="00DD6970" w:rsidRDefault="00DD2EE0" w:rsidP="00DD2EE0">
      <w:pPr>
        <w:spacing w:line="252" w:lineRule="auto"/>
        <w:jc w:val="both"/>
        <w:rPr>
          <w:rFonts w:ascii="Arial" w:hAnsi="Arial" w:cs="Arial"/>
          <w:sz w:val="22"/>
          <w:szCs w:val="22"/>
          <w:lang w:val="en-NZ"/>
        </w:rPr>
      </w:pPr>
      <w:r w:rsidRPr="00DD6970">
        <w:rPr>
          <w:rFonts w:ascii="Arial" w:hAnsi="Arial" w:cs="Arial"/>
          <w:sz w:val="22"/>
          <w:szCs w:val="22"/>
          <w:lang w:val="en-NZ"/>
        </w:rPr>
        <w:t>In recent years, the Ministry has increased its capacity and capability regarding school property, reflecting:</w:t>
      </w:r>
    </w:p>
    <w:p w:rsidR="00DD2EE0" w:rsidRPr="00DD6970" w:rsidRDefault="00DD2EE0" w:rsidP="00DD2EE0">
      <w:pPr>
        <w:spacing w:line="252" w:lineRule="auto"/>
        <w:jc w:val="both"/>
        <w:rPr>
          <w:rFonts w:ascii="Arial" w:hAnsi="Arial" w:cs="Arial"/>
          <w:sz w:val="22"/>
          <w:szCs w:val="22"/>
          <w:lang w:val="en-NZ"/>
        </w:rPr>
      </w:pPr>
    </w:p>
    <w:p w:rsidR="00DD2EE0" w:rsidRDefault="00DD2EE0" w:rsidP="00DD2EE0">
      <w:pPr>
        <w:pStyle w:val="ListParagraph"/>
        <w:numPr>
          <w:ilvl w:val="0"/>
          <w:numId w:val="39"/>
        </w:numPr>
        <w:spacing w:after="220" w:line="252" w:lineRule="auto"/>
        <w:jc w:val="both"/>
        <w:rPr>
          <w:rFonts w:ascii="Arial" w:hAnsi="Arial" w:cs="Arial"/>
          <w:sz w:val="22"/>
          <w:szCs w:val="22"/>
          <w:lang w:val="en-NZ"/>
        </w:rPr>
      </w:pPr>
      <w:r w:rsidRPr="00376F96">
        <w:rPr>
          <w:rFonts w:ascii="Arial" w:hAnsi="Arial" w:cs="Arial"/>
          <w:sz w:val="22"/>
          <w:szCs w:val="22"/>
          <w:lang w:val="en-NZ"/>
        </w:rPr>
        <w:t>the need for the Ministry to ensure adequate asset management of a substantial Crown asset; and</w:t>
      </w:r>
    </w:p>
    <w:p w:rsidR="00DD2EE0" w:rsidRPr="00376F96" w:rsidRDefault="00DD2EE0" w:rsidP="00DD2EE0">
      <w:pPr>
        <w:pStyle w:val="ListParagraph"/>
        <w:spacing w:after="220" w:line="252" w:lineRule="auto"/>
        <w:jc w:val="both"/>
        <w:rPr>
          <w:rFonts w:ascii="Arial" w:hAnsi="Arial" w:cs="Arial"/>
          <w:sz w:val="22"/>
          <w:szCs w:val="22"/>
          <w:lang w:val="en-NZ"/>
        </w:rPr>
      </w:pPr>
    </w:p>
    <w:p w:rsidR="00DD2EE0" w:rsidRPr="00376F96" w:rsidRDefault="00DD2EE0" w:rsidP="008E4186">
      <w:pPr>
        <w:pStyle w:val="ListParagraph"/>
        <w:numPr>
          <w:ilvl w:val="0"/>
          <w:numId w:val="39"/>
        </w:numPr>
        <w:spacing w:line="252" w:lineRule="auto"/>
        <w:ind w:left="714" w:hanging="357"/>
        <w:contextualSpacing w:val="0"/>
        <w:jc w:val="both"/>
        <w:rPr>
          <w:rFonts w:ascii="Arial" w:hAnsi="Arial" w:cs="Arial"/>
          <w:sz w:val="22"/>
          <w:szCs w:val="22"/>
          <w:lang w:val="en-NZ"/>
        </w:rPr>
      </w:pPr>
      <w:proofErr w:type="gramStart"/>
      <w:r w:rsidRPr="00376F96">
        <w:rPr>
          <w:rFonts w:ascii="Arial" w:hAnsi="Arial" w:cs="Arial"/>
          <w:sz w:val="22"/>
          <w:szCs w:val="22"/>
          <w:lang w:val="en-NZ"/>
        </w:rPr>
        <w:t>the</w:t>
      </w:r>
      <w:proofErr w:type="gramEnd"/>
      <w:r w:rsidRPr="00376F96">
        <w:rPr>
          <w:rFonts w:ascii="Arial" w:hAnsi="Arial" w:cs="Arial"/>
          <w:sz w:val="22"/>
          <w:szCs w:val="22"/>
          <w:lang w:val="en-NZ"/>
        </w:rPr>
        <w:t xml:space="preserve"> variable capability and capacity of school boards of trustees to manage school property.</w:t>
      </w:r>
    </w:p>
    <w:p w:rsidR="00DD2EE0" w:rsidRDefault="00DD2EE0" w:rsidP="00DD2EE0">
      <w:pPr>
        <w:pStyle w:val="TRNormal"/>
        <w:jc w:val="both"/>
        <w:rPr>
          <w:rFonts w:cs="Arial"/>
          <w:szCs w:val="22"/>
        </w:rPr>
      </w:pPr>
    </w:p>
    <w:p w:rsidR="008E4186" w:rsidRDefault="008E4186" w:rsidP="00DD2EE0">
      <w:pPr>
        <w:pStyle w:val="TRNormal"/>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To date the focus has been on capital </w:t>
      </w:r>
      <w:proofErr w:type="gramStart"/>
      <w:r>
        <w:rPr>
          <w:rFonts w:cs="Arial"/>
          <w:szCs w:val="22"/>
        </w:rPr>
        <w:t>spending,</w:t>
      </w:r>
      <w:proofErr w:type="gramEnd"/>
      <w:r>
        <w:rPr>
          <w:rFonts w:cs="Arial"/>
          <w:szCs w:val="22"/>
        </w:rPr>
        <w:t xml:space="preserve"> as the operational spend regarding property is at the discretion of boards of trustees.</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pPr>
      <w:r>
        <w:t>Given the Review is considering what happens to operational funding, it is timely to consider:</w:t>
      </w:r>
    </w:p>
    <w:p w:rsidR="00DD2EE0" w:rsidRDefault="00DD2EE0" w:rsidP="00DD2EE0">
      <w:pPr>
        <w:pStyle w:val="TRNormal"/>
        <w:ind w:left="0" w:firstLine="0"/>
        <w:jc w:val="both"/>
      </w:pPr>
    </w:p>
    <w:p w:rsidR="00DD2EE0" w:rsidRDefault="00DD2EE0" w:rsidP="00DD2EE0">
      <w:pPr>
        <w:pStyle w:val="ListParagraph"/>
        <w:numPr>
          <w:ilvl w:val="0"/>
          <w:numId w:val="39"/>
        </w:numPr>
        <w:spacing w:after="220" w:line="252" w:lineRule="auto"/>
        <w:jc w:val="both"/>
        <w:rPr>
          <w:rFonts w:ascii="Arial" w:hAnsi="Arial" w:cs="Arial"/>
          <w:sz w:val="22"/>
          <w:szCs w:val="22"/>
          <w:lang w:val="en-NZ"/>
        </w:rPr>
      </w:pPr>
      <w:r w:rsidRPr="00376F96">
        <w:rPr>
          <w:rFonts w:ascii="Arial" w:hAnsi="Arial" w:cs="Arial"/>
          <w:sz w:val="22"/>
          <w:szCs w:val="22"/>
          <w:lang w:val="en-NZ"/>
        </w:rPr>
        <w:t xml:space="preserve">whether the current flexibility regarding operational funding distributed to boards should be limited to better enable boards and the Ministry to manage for desired outcomes; and </w:t>
      </w:r>
    </w:p>
    <w:p w:rsidR="00DD2EE0" w:rsidRDefault="00DD2EE0" w:rsidP="00DD2EE0">
      <w:pPr>
        <w:pStyle w:val="ListParagraph"/>
        <w:spacing w:after="220" w:line="252" w:lineRule="auto"/>
        <w:jc w:val="both"/>
        <w:rPr>
          <w:rFonts w:ascii="Arial" w:hAnsi="Arial" w:cs="Arial"/>
          <w:sz w:val="22"/>
          <w:szCs w:val="22"/>
          <w:lang w:val="en-NZ"/>
        </w:rPr>
      </w:pPr>
    </w:p>
    <w:p w:rsidR="00DD2EE0" w:rsidRPr="00376F96" w:rsidRDefault="00DD2EE0" w:rsidP="00DD2EE0">
      <w:pPr>
        <w:pStyle w:val="ListParagraph"/>
        <w:numPr>
          <w:ilvl w:val="0"/>
          <w:numId w:val="39"/>
        </w:numPr>
        <w:spacing w:after="220" w:line="252" w:lineRule="auto"/>
        <w:jc w:val="both"/>
        <w:rPr>
          <w:rFonts w:ascii="Arial" w:hAnsi="Arial" w:cs="Arial"/>
          <w:sz w:val="22"/>
          <w:szCs w:val="22"/>
          <w:lang w:val="en-NZ"/>
        </w:rPr>
      </w:pPr>
      <w:proofErr w:type="gramStart"/>
      <w:r w:rsidRPr="00376F96">
        <w:rPr>
          <w:rFonts w:ascii="Arial" w:hAnsi="Arial" w:cs="Arial"/>
          <w:sz w:val="22"/>
          <w:szCs w:val="22"/>
          <w:lang w:val="en-NZ"/>
        </w:rPr>
        <w:t>whether</w:t>
      </w:r>
      <w:proofErr w:type="gramEnd"/>
      <w:r w:rsidRPr="00376F96">
        <w:rPr>
          <w:rFonts w:ascii="Arial" w:hAnsi="Arial" w:cs="Arial"/>
          <w:sz w:val="22"/>
          <w:szCs w:val="22"/>
          <w:lang w:val="en-NZ"/>
        </w:rPr>
        <w:t xml:space="preserve"> the current mix between funding distributed to boards and funding centrally managed by the Ministry is appropriate.</w:t>
      </w:r>
    </w:p>
    <w:p w:rsidR="00DD2EE0" w:rsidRPr="00CF13D0" w:rsidRDefault="00DD2EE0" w:rsidP="00DD2EE0">
      <w:pPr>
        <w:pStyle w:val="ListParagraph"/>
        <w:ind w:left="0"/>
        <w:jc w:val="both"/>
        <w:rPr>
          <w:rFonts w:ascii="Arial" w:hAnsi="Arial" w:cs="Arial"/>
          <w:sz w:val="22"/>
          <w:szCs w:val="22"/>
        </w:rPr>
      </w:pPr>
    </w:p>
    <w:p w:rsidR="00DD2EE0" w:rsidRPr="00CF13D0" w:rsidRDefault="00DD2EE0" w:rsidP="00DD2EE0">
      <w:pPr>
        <w:pBdr>
          <w:top w:val="single" w:sz="12" w:space="1" w:color="3472AC"/>
          <w:left w:val="single" w:sz="12" w:space="4" w:color="3472AC"/>
          <w:bottom w:val="single" w:sz="12" w:space="1" w:color="3472AC"/>
          <w:right w:val="single" w:sz="12" w:space="0" w:color="3472AC"/>
        </w:pBdr>
        <w:ind w:left="357" w:right="510"/>
        <w:rPr>
          <w:rFonts w:ascii="Arial" w:hAnsi="Arial" w:cs="Arial"/>
          <w:i/>
          <w:color w:val="3472AC"/>
          <w:sz w:val="6"/>
          <w:szCs w:val="6"/>
        </w:rPr>
      </w:pPr>
    </w:p>
    <w:p w:rsidR="00DD2EE0" w:rsidRDefault="00DD2EE0" w:rsidP="00DD2EE0">
      <w:pPr>
        <w:pBdr>
          <w:top w:val="single" w:sz="12" w:space="1" w:color="3472AC"/>
          <w:left w:val="single" w:sz="12" w:space="4" w:color="3472AC"/>
          <w:bottom w:val="single" w:sz="12" w:space="1" w:color="3472AC"/>
          <w:right w:val="single" w:sz="12" w:space="0" w:color="3472AC"/>
        </w:pBdr>
        <w:ind w:left="357" w:right="510"/>
        <w:rPr>
          <w:rFonts w:ascii="Arial" w:hAnsi="Arial" w:cs="Arial"/>
          <w:i/>
          <w:color w:val="3472AC"/>
          <w:sz w:val="22"/>
        </w:rPr>
      </w:pPr>
      <w:r>
        <w:rPr>
          <w:rFonts w:ascii="Arial" w:hAnsi="Arial" w:cs="Arial"/>
          <w:i/>
          <w:color w:val="3472AC"/>
          <w:sz w:val="22"/>
        </w:rPr>
        <w:t>Question for discussion:</w:t>
      </w:r>
    </w:p>
    <w:p w:rsidR="00DD2EE0" w:rsidRDefault="00DD2EE0" w:rsidP="00DD2EE0">
      <w:pPr>
        <w:pBdr>
          <w:top w:val="single" w:sz="12" w:space="1" w:color="3472AC"/>
          <w:left w:val="single" w:sz="12" w:space="4" w:color="3472AC"/>
          <w:bottom w:val="single" w:sz="12" w:space="1" w:color="3472AC"/>
          <w:right w:val="single" w:sz="12" w:space="0" w:color="3472AC"/>
        </w:pBdr>
        <w:ind w:left="357" w:right="510"/>
        <w:rPr>
          <w:rFonts w:ascii="Arial" w:hAnsi="Arial" w:cs="Arial"/>
          <w:i/>
          <w:color w:val="3472AC"/>
          <w:sz w:val="22"/>
        </w:rPr>
      </w:pPr>
    </w:p>
    <w:p w:rsidR="00DD2EE0" w:rsidRDefault="00DD2EE0" w:rsidP="00DD2EE0">
      <w:pPr>
        <w:pBdr>
          <w:top w:val="single" w:sz="12" w:space="1" w:color="3472AC"/>
          <w:left w:val="single" w:sz="12" w:space="4" w:color="3472AC"/>
          <w:bottom w:val="single" w:sz="12" w:space="1" w:color="3472AC"/>
          <w:right w:val="single" w:sz="12" w:space="0" w:color="3472AC"/>
        </w:pBdr>
        <w:ind w:left="357" w:right="510"/>
        <w:rPr>
          <w:rFonts w:ascii="Arial" w:hAnsi="Arial" w:cs="Arial"/>
          <w:i/>
          <w:color w:val="3472AC"/>
          <w:sz w:val="22"/>
        </w:rPr>
      </w:pPr>
      <w:r>
        <w:rPr>
          <w:rFonts w:ascii="Arial" w:hAnsi="Arial" w:cs="Arial"/>
          <w:i/>
          <w:color w:val="3472AC"/>
          <w:sz w:val="22"/>
        </w:rPr>
        <w:t>While there is scope to improve funding arrangements in this area, what aspects of the current model for property-related funding would you like to see retained?</w:t>
      </w:r>
    </w:p>
    <w:p w:rsidR="00DD2EE0" w:rsidRPr="00CF13D0" w:rsidRDefault="00DD2EE0" w:rsidP="00DD2EE0">
      <w:pPr>
        <w:pBdr>
          <w:top w:val="single" w:sz="12" w:space="1" w:color="3472AC"/>
          <w:left w:val="single" w:sz="12" w:space="4" w:color="3472AC"/>
          <w:bottom w:val="single" w:sz="12" w:space="1" w:color="3472AC"/>
          <w:right w:val="single" w:sz="12" w:space="0" w:color="3472AC"/>
        </w:pBdr>
        <w:ind w:left="357" w:right="510"/>
        <w:rPr>
          <w:rFonts w:ascii="Arial" w:hAnsi="Arial" w:cs="Arial"/>
          <w:i/>
          <w:color w:val="3472AC"/>
          <w:sz w:val="6"/>
          <w:szCs w:val="6"/>
        </w:rPr>
      </w:pPr>
    </w:p>
    <w:p w:rsidR="00DD2EE0" w:rsidRDefault="00DD2EE0" w:rsidP="00DD2EE0">
      <w:pPr>
        <w:pStyle w:val="TRNormal"/>
        <w:ind w:left="0" w:firstLine="0"/>
        <w:jc w:val="both"/>
        <w:rPr>
          <w:rFonts w:cs="Arial"/>
          <w:szCs w:val="22"/>
        </w:rPr>
      </w:pPr>
    </w:p>
    <w:p w:rsidR="00DD2EE0" w:rsidRPr="004E0BCD" w:rsidRDefault="00DD2EE0" w:rsidP="00DD2EE0">
      <w:pPr>
        <w:pStyle w:val="BlueSubheading3"/>
        <w:spacing w:before="0" w:after="0"/>
        <w:rPr>
          <w:rFonts w:eastAsia="Times New Roman" w:cs="Arial"/>
          <w:bCs w:val="0"/>
          <w:color w:val="auto"/>
          <w:sz w:val="22"/>
        </w:rPr>
      </w:pPr>
      <w:r w:rsidRPr="004E0BCD">
        <w:rPr>
          <w:rFonts w:eastAsia="Times New Roman" w:cs="Arial"/>
          <w:bCs w:val="0"/>
          <w:color w:val="auto"/>
          <w:sz w:val="22"/>
        </w:rPr>
        <w:t>Options Considered</w:t>
      </w:r>
      <w:r>
        <w:rPr>
          <w:rFonts w:eastAsia="Times New Roman" w:cs="Arial"/>
          <w:bCs w:val="0"/>
          <w:color w:val="auto"/>
          <w:sz w:val="22"/>
        </w:rPr>
        <w:t>:</w:t>
      </w:r>
    </w:p>
    <w:p w:rsidR="00DD2EE0" w:rsidRPr="00841F99" w:rsidRDefault="00DD2EE0" w:rsidP="00DD2EE0">
      <w:pPr>
        <w:pStyle w:val="BlueSubheading3"/>
        <w:spacing w:before="0" w:after="0"/>
        <w:jc w:val="both"/>
        <w:rPr>
          <w:sz w:val="24"/>
          <w:szCs w:val="24"/>
        </w:rPr>
      </w:pPr>
    </w:p>
    <w:p w:rsidR="00DD2EE0" w:rsidRDefault="00DD2EE0" w:rsidP="00DD2EE0">
      <w:pPr>
        <w:pStyle w:val="TRNormal"/>
        <w:ind w:left="0" w:firstLine="0"/>
        <w:jc w:val="both"/>
        <w:rPr>
          <w:rFonts w:cs="Arial"/>
          <w:szCs w:val="22"/>
        </w:rPr>
      </w:pPr>
      <w:r>
        <w:rPr>
          <w:rFonts w:cs="Arial"/>
          <w:szCs w:val="22"/>
        </w:rPr>
        <w:t>Funding arrangements for school property should reflect education and asset management drivers that apply to the portfolio.</w:t>
      </w:r>
    </w:p>
    <w:p w:rsidR="00DD2EE0" w:rsidRDefault="00DD2EE0" w:rsidP="00DD2EE0">
      <w:pPr>
        <w:pStyle w:val="TRNormal"/>
        <w:ind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The following critical success factors have been </w:t>
      </w:r>
      <w:r w:rsidR="00197A77">
        <w:rPr>
          <w:rFonts w:cs="Arial"/>
          <w:szCs w:val="22"/>
        </w:rPr>
        <w:t>identified to guide a preliminary</w:t>
      </w:r>
      <w:r>
        <w:rPr>
          <w:rFonts w:cs="Arial"/>
          <w:szCs w:val="22"/>
        </w:rPr>
        <w:t xml:space="preserve"> assessment of identified options:</w:t>
      </w:r>
    </w:p>
    <w:p w:rsidR="00DD2EE0" w:rsidRDefault="00DD2EE0" w:rsidP="00DD2EE0">
      <w:pPr>
        <w:pStyle w:val="ListParagraph"/>
        <w:numPr>
          <w:ilvl w:val="0"/>
          <w:numId w:val="46"/>
        </w:numPr>
        <w:spacing w:after="220" w:line="252" w:lineRule="auto"/>
        <w:jc w:val="both"/>
        <w:rPr>
          <w:rFonts w:ascii="Arial" w:hAnsi="Arial" w:cs="Arial"/>
          <w:sz w:val="22"/>
          <w:szCs w:val="22"/>
          <w:lang w:val="en-NZ"/>
        </w:rPr>
      </w:pPr>
      <w:r w:rsidRPr="00376F96">
        <w:rPr>
          <w:rFonts w:ascii="Arial" w:hAnsi="Arial" w:cs="Arial"/>
          <w:sz w:val="22"/>
          <w:szCs w:val="22"/>
          <w:lang w:val="en-NZ"/>
        </w:rPr>
        <w:t>frees up more school leadership time to focus on education – if the funding arrangements and delivery of related services are onerous for schools, this may negatively impact on educational outcomes;</w:t>
      </w:r>
    </w:p>
    <w:p w:rsidR="007B2F9E" w:rsidRPr="00376F96" w:rsidRDefault="007B2F9E" w:rsidP="007B2F9E">
      <w:pPr>
        <w:pStyle w:val="ListParagraph"/>
        <w:spacing w:after="220" w:line="252" w:lineRule="auto"/>
        <w:jc w:val="both"/>
        <w:rPr>
          <w:rFonts w:ascii="Arial" w:hAnsi="Arial" w:cs="Arial"/>
          <w:sz w:val="22"/>
          <w:szCs w:val="22"/>
          <w:lang w:val="en-NZ"/>
        </w:rPr>
      </w:pPr>
    </w:p>
    <w:p w:rsidR="00DD2EE0" w:rsidRDefault="00DD2EE0" w:rsidP="00DD2EE0">
      <w:pPr>
        <w:pStyle w:val="ListParagraph"/>
        <w:numPr>
          <w:ilvl w:val="0"/>
          <w:numId w:val="46"/>
        </w:numPr>
        <w:spacing w:after="220" w:line="252" w:lineRule="auto"/>
        <w:jc w:val="both"/>
        <w:rPr>
          <w:rFonts w:ascii="Arial" w:hAnsi="Arial" w:cs="Arial"/>
          <w:sz w:val="22"/>
          <w:szCs w:val="22"/>
          <w:lang w:val="en-NZ"/>
        </w:rPr>
      </w:pPr>
      <w:r w:rsidRPr="00296543">
        <w:rPr>
          <w:rFonts w:ascii="Arial" w:hAnsi="Arial" w:cs="Arial"/>
          <w:sz w:val="22"/>
          <w:szCs w:val="22"/>
          <w:lang w:val="en-NZ"/>
        </w:rPr>
        <w:t>improves value for money – delivers better asset management for the same level of investment or frees up money that would otherwise be spent on property for other education initiatives;</w:t>
      </w:r>
    </w:p>
    <w:p w:rsidR="00DD2EE0" w:rsidRDefault="00DD2EE0" w:rsidP="00DD2EE0">
      <w:pPr>
        <w:pStyle w:val="ListParagraph"/>
        <w:spacing w:line="252" w:lineRule="auto"/>
        <w:contextualSpacing w:val="0"/>
        <w:jc w:val="both"/>
        <w:rPr>
          <w:rFonts w:ascii="Arial" w:hAnsi="Arial" w:cs="Arial"/>
          <w:sz w:val="22"/>
          <w:szCs w:val="22"/>
          <w:lang w:val="en-NZ"/>
        </w:rPr>
      </w:pPr>
    </w:p>
    <w:p w:rsidR="00DD2EE0" w:rsidRDefault="00DD2EE0" w:rsidP="00DD2EE0">
      <w:pPr>
        <w:pStyle w:val="ListParagraph"/>
        <w:numPr>
          <w:ilvl w:val="0"/>
          <w:numId w:val="46"/>
        </w:numPr>
        <w:spacing w:line="252" w:lineRule="auto"/>
        <w:ind w:left="714" w:hanging="357"/>
        <w:contextualSpacing w:val="0"/>
        <w:jc w:val="both"/>
        <w:rPr>
          <w:rFonts w:ascii="Arial" w:hAnsi="Arial" w:cs="Arial"/>
          <w:sz w:val="22"/>
          <w:szCs w:val="22"/>
          <w:lang w:val="en-NZ"/>
        </w:rPr>
      </w:pPr>
      <w:r w:rsidRPr="00296543">
        <w:rPr>
          <w:rFonts w:ascii="Arial" w:hAnsi="Arial" w:cs="Arial"/>
          <w:sz w:val="22"/>
          <w:szCs w:val="22"/>
          <w:lang w:val="en-NZ"/>
        </w:rPr>
        <w:t xml:space="preserve">improves accountability for the use of funding – ensures everyone in the system knows the outcomes the funding is intended to achieve, and those with decision making authority are able to be held to account for these outcomes; </w:t>
      </w:r>
    </w:p>
    <w:p w:rsidR="00DD2EE0" w:rsidRPr="000A4FD1" w:rsidRDefault="00DD2EE0" w:rsidP="00DD2EE0">
      <w:pPr>
        <w:pStyle w:val="ListParagraph"/>
        <w:rPr>
          <w:rFonts w:ascii="Arial" w:hAnsi="Arial" w:cs="Arial"/>
          <w:sz w:val="22"/>
          <w:szCs w:val="22"/>
          <w:lang w:val="en-NZ"/>
        </w:rPr>
      </w:pPr>
    </w:p>
    <w:p w:rsidR="00DD2EE0" w:rsidRDefault="00DD2EE0" w:rsidP="00DD2EE0">
      <w:pPr>
        <w:pStyle w:val="ListParagraph"/>
        <w:numPr>
          <w:ilvl w:val="0"/>
          <w:numId w:val="46"/>
        </w:numPr>
        <w:spacing w:after="220" w:line="252" w:lineRule="auto"/>
        <w:jc w:val="both"/>
        <w:rPr>
          <w:rFonts w:ascii="Arial" w:hAnsi="Arial" w:cs="Arial"/>
          <w:sz w:val="22"/>
          <w:szCs w:val="22"/>
          <w:lang w:val="en-NZ"/>
        </w:rPr>
      </w:pPr>
      <w:r w:rsidRPr="00296543">
        <w:rPr>
          <w:rFonts w:ascii="Arial" w:hAnsi="Arial" w:cs="Arial"/>
          <w:sz w:val="22"/>
          <w:szCs w:val="22"/>
          <w:lang w:val="en-NZ"/>
        </w:rPr>
        <w:t>improves asset management decisions at a portfolio level – ensures funding is allocated to the areas of greatest need across the portfolio; and</w:t>
      </w:r>
    </w:p>
    <w:p w:rsidR="00DD2EE0" w:rsidRPr="000A4FD1" w:rsidRDefault="00DD2EE0" w:rsidP="00DD2EE0">
      <w:pPr>
        <w:pStyle w:val="ListParagraph"/>
        <w:rPr>
          <w:rFonts w:ascii="Arial" w:hAnsi="Arial" w:cs="Arial"/>
          <w:sz w:val="22"/>
          <w:szCs w:val="22"/>
          <w:lang w:val="en-NZ"/>
        </w:rPr>
      </w:pPr>
    </w:p>
    <w:p w:rsidR="00DD2EE0" w:rsidRDefault="00DD2EE0" w:rsidP="00DD2EE0">
      <w:pPr>
        <w:pStyle w:val="ListParagraph"/>
        <w:numPr>
          <w:ilvl w:val="0"/>
          <w:numId w:val="46"/>
        </w:numPr>
        <w:spacing w:line="252" w:lineRule="auto"/>
        <w:ind w:left="714" w:hanging="357"/>
        <w:contextualSpacing w:val="0"/>
        <w:jc w:val="both"/>
        <w:rPr>
          <w:rFonts w:ascii="Arial" w:hAnsi="Arial" w:cs="Arial"/>
          <w:sz w:val="22"/>
          <w:szCs w:val="22"/>
          <w:lang w:val="en-NZ"/>
        </w:rPr>
      </w:pPr>
      <w:proofErr w:type="gramStart"/>
      <w:r>
        <w:rPr>
          <w:rFonts w:ascii="Arial" w:hAnsi="Arial" w:cs="Arial"/>
          <w:sz w:val="22"/>
          <w:szCs w:val="22"/>
          <w:lang w:val="en-NZ"/>
        </w:rPr>
        <w:t>s</w:t>
      </w:r>
      <w:r w:rsidRPr="00296543">
        <w:rPr>
          <w:rFonts w:ascii="Arial" w:hAnsi="Arial" w:cs="Arial"/>
          <w:sz w:val="22"/>
          <w:szCs w:val="22"/>
          <w:lang w:val="en-NZ"/>
        </w:rPr>
        <w:t>traight-forward</w:t>
      </w:r>
      <w:proofErr w:type="gramEnd"/>
      <w:r w:rsidRPr="00296543">
        <w:rPr>
          <w:rFonts w:ascii="Arial" w:hAnsi="Arial" w:cs="Arial"/>
          <w:sz w:val="22"/>
          <w:szCs w:val="22"/>
          <w:lang w:val="en-NZ"/>
        </w:rPr>
        <w:t xml:space="preserve"> to implement and manage – the funding mechanism is not overly complex and, if the change process is carefully managed, is likely to be supported by the majority of the sector.</w:t>
      </w:r>
    </w:p>
    <w:p w:rsidR="00DD2EE0" w:rsidRDefault="00DD2EE0" w:rsidP="00DD2EE0">
      <w:pPr>
        <w:pStyle w:val="ListParagraph"/>
        <w:spacing w:line="252" w:lineRule="auto"/>
        <w:ind w:left="714"/>
        <w:contextualSpacing w:val="0"/>
        <w:jc w:val="both"/>
        <w:rPr>
          <w:rFonts w:ascii="Arial" w:hAnsi="Arial" w:cs="Arial"/>
          <w:sz w:val="22"/>
          <w:szCs w:val="22"/>
          <w:lang w:val="en-NZ"/>
        </w:rPr>
      </w:pPr>
    </w:p>
    <w:p w:rsidR="00DD2EE0" w:rsidRDefault="00DD2EE0" w:rsidP="00DD2EE0">
      <w:pPr>
        <w:spacing w:line="252" w:lineRule="auto"/>
        <w:jc w:val="both"/>
        <w:rPr>
          <w:rFonts w:ascii="Arial" w:hAnsi="Arial" w:cs="Arial"/>
          <w:sz w:val="22"/>
          <w:szCs w:val="22"/>
          <w:lang w:val="en-NZ"/>
        </w:rPr>
      </w:pPr>
      <w:r>
        <w:rPr>
          <w:rFonts w:ascii="Arial" w:hAnsi="Arial" w:cs="Arial"/>
          <w:sz w:val="22"/>
          <w:szCs w:val="22"/>
          <w:lang w:val="en-NZ"/>
        </w:rPr>
        <w:t>The key questions relate to whether:</w:t>
      </w:r>
    </w:p>
    <w:p w:rsidR="00DD2EE0" w:rsidRDefault="00DD2EE0" w:rsidP="00DD2EE0">
      <w:pPr>
        <w:spacing w:line="252" w:lineRule="auto"/>
        <w:jc w:val="both"/>
        <w:rPr>
          <w:rFonts w:ascii="Arial" w:hAnsi="Arial" w:cs="Arial"/>
          <w:sz w:val="22"/>
          <w:szCs w:val="22"/>
          <w:lang w:val="en-NZ"/>
        </w:rPr>
      </w:pPr>
    </w:p>
    <w:p w:rsidR="00DD2EE0" w:rsidRDefault="00DD2EE0" w:rsidP="00DD2EE0">
      <w:pPr>
        <w:pStyle w:val="ListParagraph"/>
        <w:numPr>
          <w:ilvl w:val="0"/>
          <w:numId w:val="45"/>
        </w:numPr>
        <w:spacing w:after="220" w:line="252" w:lineRule="auto"/>
        <w:jc w:val="both"/>
        <w:rPr>
          <w:rFonts w:ascii="Arial" w:hAnsi="Arial" w:cs="Arial"/>
          <w:sz w:val="22"/>
          <w:szCs w:val="22"/>
          <w:lang w:val="en-NZ"/>
        </w:rPr>
      </w:pPr>
      <w:r w:rsidRPr="00376F96">
        <w:rPr>
          <w:rFonts w:ascii="Arial" w:hAnsi="Arial" w:cs="Arial"/>
          <w:sz w:val="22"/>
          <w:szCs w:val="22"/>
          <w:lang w:val="en-NZ"/>
        </w:rPr>
        <w:t>the allocation approach for the various property-related components reflects the cost drivers; and</w:t>
      </w:r>
    </w:p>
    <w:p w:rsidR="00DD2EE0" w:rsidRPr="00376F96" w:rsidRDefault="00DD2EE0" w:rsidP="00DD2EE0">
      <w:pPr>
        <w:pStyle w:val="ListParagraph"/>
        <w:spacing w:line="252" w:lineRule="auto"/>
        <w:contextualSpacing w:val="0"/>
        <w:jc w:val="both"/>
        <w:rPr>
          <w:rFonts w:ascii="Arial" w:hAnsi="Arial" w:cs="Arial"/>
          <w:sz w:val="22"/>
          <w:szCs w:val="22"/>
          <w:lang w:val="en-NZ"/>
        </w:rPr>
      </w:pPr>
    </w:p>
    <w:p w:rsidR="00DD2EE0" w:rsidRPr="004E25D5" w:rsidRDefault="00DD2EE0" w:rsidP="00DD2EE0">
      <w:pPr>
        <w:pStyle w:val="ListParagraph"/>
        <w:numPr>
          <w:ilvl w:val="0"/>
          <w:numId w:val="45"/>
        </w:numPr>
        <w:spacing w:after="220" w:line="252" w:lineRule="auto"/>
        <w:ind w:left="714" w:hanging="357"/>
        <w:contextualSpacing w:val="0"/>
        <w:jc w:val="both"/>
        <w:rPr>
          <w:rFonts w:ascii="Arial" w:hAnsi="Arial" w:cs="Arial"/>
          <w:sz w:val="22"/>
          <w:szCs w:val="22"/>
          <w:lang w:val="en-NZ"/>
        </w:rPr>
      </w:pPr>
      <w:proofErr w:type="gramStart"/>
      <w:r w:rsidRPr="004E25D5">
        <w:rPr>
          <w:rFonts w:ascii="Arial" w:hAnsi="Arial" w:cs="Arial"/>
          <w:sz w:val="22"/>
          <w:szCs w:val="22"/>
          <w:lang w:val="en-NZ"/>
        </w:rPr>
        <w:t>property-related</w:t>
      </w:r>
      <w:proofErr w:type="gramEnd"/>
      <w:r w:rsidRPr="004E25D5">
        <w:rPr>
          <w:rFonts w:ascii="Arial" w:hAnsi="Arial" w:cs="Arial"/>
          <w:sz w:val="22"/>
          <w:szCs w:val="22"/>
          <w:lang w:val="en-NZ"/>
        </w:rPr>
        <w:t xml:space="preserve"> funding currently within the </w:t>
      </w:r>
      <w:r>
        <w:rPr>
          <w:rFonts w:ascii="Arial" w:hAnsi="Arial" w:cs="Arial"/>
          <w:sz w:val="22"/>
          <w:szCs w:val="22"/>
          <w:lang w:val="en-NZ"/>
        </w:rPr>
        <w:t>operational</w:t>
      </w:r>
      <w:r w:rsidRPr="004E25D5">
        <w:rPr>
          <w:rFonts w:ascii="Arial" w:hAnsi="Arial" w:cs="Arial"/>
          <w:sz w:val="22"/>
          <w:szCs w:val="22"/>
          <w:lang w:val="en-NZ"/>
        </w:rPr>
        <w:t xml:space="preserve"> grant should be separated from funding for teaching and learning and ‘ring-fenced’ (funding can only be spent on specified activities).</w:t>
      </w:r>
    </w:p>
    <w:p w:rsidR="00DD2EE0" w:rsidRPr="00841F99" w:rsidRDefault="00DD2EE0" w:rsidP="00DD2EE0">
      <w:pPr>
        <w:pStyle w:val="TRNormal"/>
        <w:ind w:left="0" w:firstLine="0"/>
        <w:jc w:val="both"/>
        <w:rPr>
          <w:b/>
          <w:sz w:val="20"/>
        </w:rPr>
      </w:pPr>
      <w:r w:rsidRPr="00841F99">
        <w:rPr>
          <w:b/>
          <w:sz w:val="20"/>
        </w:rPr>
        <w:t xml:space="preserve">Figure 2: Separation of property-related funding from funding for teaching and learning </w:t>
      </w:r>
    </w:p>
    <w:p w:rsidR="00DD2EE0" w:rsidRDefault="00DD2EE0" w:rsidP="00DD2EE0">
      <w:pPr>
        <w:spacing w:after="180" w:line="252" w:lineRule="auto"/>
        <w:rPr>
          <w:rFonts w:ascii="Arial" w:hAnsi="Arial" w:cs="Arial"/>
          <w:sz w:val="22"/>
          <w:szCs w:val="22"/>
          <w:lang w:val="en-NZ"/>
        </w:rPr>
      </w:pPr>
    </w:p>
    <w:p w:rsidR="00DD2EE0" w:rsidRDefault="00DD2EE0" w:rsidP="00DD2EE0">
      <w:pPr>
        <w:spacing w:after="180" w:line="252" w:lineRule="auto"/>
        <w:jc w:val="center"/>
        <w:rPr>
          <w:rFonts w:ascii="Arial" w:hAnsi="Arial" w:cs="Arial"/>
          <w:sz w:val="22"/>
          <w:szCs w:val="22"/>
          <w:lang w:val="en-NZ"/>
        </w:rPr>
      </w:pPr>
      <w:r>
        <w:rPr>
          <w:rFonts w:ascii="Arial" w:hAnsi="Arial" w:cs="Arial"/>
          <w:noProof/>
          <w:sz w:val="22"/>
          <w:szCs w:val="22"/>
          <w:lang w:val="en-NZ" w:eastAsia="en-NZ"/>
        </w:rPr>
        <w:drawing>
          <wp:inline distT="0" distB="0" distL="0" distR="0">
            <wp:extent cx="4331970" cy="1729740"/>
            <wp:effectExtent l="19050" t="0" r="0" b="0"/>
            <wp:docPr id="9"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48672" cy="2304256"/>
                      <a:chOff x="971600" y="4005064"/>
                      <a:chExt cx="6048672" cy="2304256"/>
                    </a:xfrm>
                  </a:grpSpPr>
                  <a:sp>
                    <a:nvSpPr>
                      <a:cNvPr id="5" name="Oval 4"/>
                      <a:cNvSpPr/>
                    </a:nvSpPr>
                    <a:spPr>
                      <a:xfrm>
                        <a:off x="971600" y="4077072"/>
                        <a:ext cx="2232248" cy="2232248"/>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Oval 26"/>
                      <a:cNvSpPr/>
                    </a:nvSpPr>
                    <a:spPr>
                      <a:xfrm>
                        <a:off x="4644008" y="5733256"/>
                        <a:ext cx="576064" cy="57606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3">
                          <a:shade val="50000"/>
                        </a:schemeClr>
                      </a:lnRef>
                      <a:fillRef idx="1">
                        <a:schemeClr val="accent3"/>
                      </a:fillRef>
                      <a:effectRef idx="0">
                        <a:schemeClr val="accent3"/>
                      </a:effectRef>
                      <a:fontRef idx="minor">
                        <a:schemeClr val="lt1"/>
                      </a:fontRef>
                    </a:style>
                  </a:sp>
                  <a:sp>
                    <a:nvSpPr>
                      <a:cNvPr id="28" name="Oval 27"/>
                      <a:cNvSpPr/>
                    </a:nvSpPr>
                    <a:spPr>
                      <a:xfrm>
                        <a:off x="5004048" y="5373216"/>
                        <a:ext cx="216024" cy="216024"/>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2">
                          <a:shade val="50000"/>
                        </a:schemeClr>
                      </a:lnRef>
                      <a:fillRef idx="1">
                        <a:schemeClr val="accent2"/>
                      </a:fillRef>
                      <a:effectRef idx="0">
                        <a:schemeClr val="accent2"/>
                      </a:effectRef>
                      <a:fontRef idx="minor">
                        <a:schemeClr val="lt1"/>
                      </a:fontRef>
                    </a:style>
                  </a:sp>
                  <a:sp>
                    <a:nvSpPr>
                      <a:cNvPr id="29" name="Oval 28"/>
                      <a:cNvSpPr/>
                    </a:nvSpPr>
                    <a:spPr>
                      <a:xfrm>
                        <a:off x="4932040" y="4653136"/>
                        <a:ext cx="504056" cy="504056"/>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6">
                          <a:shade val="50000"/>
                        </a:schemeClr>
                      </a:lnRef>
                      <a:fillRef idx="1">
                        <a:schemeClr val="accent6"/>
                      </a:fillRef>
                      <a:effectRef idx="0">
                        <a:schemeClr val="accent6"/>
                      </a:effectRef>
                      <a:fontRef idx="minor">
                        <a:schemeClr val="lt1"/>
                      </a:fontRef>
                    </a:style>
                  </a:sp>
                  <a:sp>
                    <a:nvSpPr>
                      <a:cNvPr id="30" name="Oval 29"/>
                      <a:cNvSpPr/>
                    </a:nvSpPr>
                    <a:spPr>
                      <a:xfrm>
                        <a:off x="4716016" y="4149080"/>
                        <a:ext cx="360040" cy="36004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NZ"/>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a:off x="1187624" y="4437112"/>
                        <a:ext cx="1790298" cy="523220"/>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NZ" sz="1400" b="1" dirty="0" smtClean="0">
                              <a:solidFill>
                                <a:schemeClr val="bg1"/>
                              </a:solidFill>
                            </a:rPr>
                            <a:t>Funding for </a:t>
                          </a:r>
                        </a:p>
                        <a:p>
                          <a:pPr algn="ctr"/>
                          <a:r>
                            <a:rPr lang="en-NZ" sz="1400" b="1" dirty="0" smtClean="0">
                              <a:solidFill>
                                <a:schemeClr val="bg1"/>
                              </a:solidFill>
                            </a:rPr>
                            <a:t>teaching and learning</a:t>
                          </a:r>
                          <a:endParaRPr lang="en-NZ" sz="1400" b="1" dirty="0">
                            <a:solidFill>
                              <a:schemeClr val="bg1"/>
                            </a:solidFill>
                          </a:endParaRPr>
                        </a:p>
                      </a:txBody>
                      <a:useSpRect/>
                    </a:txSp>
                  </a:sp>
                  <a:cxnSp>
                    <a:nvCxnSpPr>
                      <a:cNvPr id="32" name="Straight Arrow Connector 31"/>
                      <a:cNvCxnSpPr/>
                    </a:nvCxnSpPr>
                    <a:spPr>
                      <a:xfrm>
                        <a:off x="2483768" y="5661248"/>
                        <a:ext cx="2088232" cy="288032"/>
                      </a:xfrm>
                      <a:prstGeom prst="straightConnector1">
                        <a:avLst/>
                      </a:prstGeom>
                      <a:ln>
                        <a:tailEnd type="arrow"/>
                      </a:ln>
                    </a:spPr>
                    <a:style>
                      <a:lnRef idx="3">
                        <a:schemeClr val="accent3"/>
                      </a:lnRef>
                      <a:fillRef idx="0">
                        <a:schemeClr val="accent3"/>
                      </a:fillRef>
                      <a:effectRef idx="2">
                        <a:schemeClr val="accent3"/>
                      </a:effectRef>
                      <a:fontRef idx="minor">
                        <a:schemeClr val="tx1"/>
                      </a:fontRef>
                    </a:style>
                  </a:cxnSp>
                  <a:cxnSp>
                    <a:nvCxnSpPr>
                      <a:cNvPr id="34" name="Straight Arrow Connector 33"/>
                      <a:cNvCxnSpPr>
                        <a:endCxn id="28" idx="2"/>
                      </a:cNvCxnSpPr>
                    </a:nvCxnSpPr>
                    <a:spPr>
                      <a:xfrm>
                        <a:off x="2771800" y="5301208"/>
                        <a:ext cx="2232248" cy="180020"/>
                      </a:xfrm>
                      <a:prstGeom prst="straightConnector1">
                        <a:avLst/>
                      </a:prstGeom>
                      <a:ln>
                        <a:tailEnd type="arrow"/>
                      </a:ln>
                    </a:spPr>
                    <a:style>
                      <a:lnRef idx="3">
                        <a:schemeClr val="accent2"/>
                      </a:lnRef>
                      <a:fillRef idx="0">
                        <a:schemeClr val="accent2"/>
                      </a:fillRef>
                      <a:effectRef idx="2">
                        <a:schemeClr val="accent2"/>
                      </a:effectRef>
                      <a:fontRef idx="minor">
                        <a:schemeClr val="tx1"/>
                      </a:fontRef>
                    </a:style>
                  </a:cxnSp>
                  <a:cxnSp>
                    <a:nvCxnSpPr>
                      <a:cNvPr id="37" name="Straight Arrow Connector 36"/>
                      <a:cNvCxnSpPr/>
                    </a:nvCxnSpPr>
                    <a:spPr>
                      <a:xfrm flipV="1">
                        <a:off x="2843808" y="4941168"/>
                        <a:ext cx="2016224" cy="144016"/>
                      </a:xfrm>
                      <a:prstGeom prst="straightConnector1">
                        <a:avLst/>
                      </a:prstGeom>
                      <a:ln>
                        <a:tailEnd type="arrow"/>
                      </a:ln>
                    </a:spPr>
                    <a:style>
                      <a:lnRef idx="3">
                        <a:schemeClr val="accent6"/>
                      </a:lnRef>
                      <a:fillRef idx="0">
                        <a:schemeClr val="accent6"/>
                      </a:fillRef>
                      <a:effectRef idx="2">
                        <a:schemeClr val="accent6"/>
                      </a:effectRef>
                      <a:fontRef idx="minor">
                        <a:schemeClr val="tx1"/>
                      </a:fontRef>
                    </a:style>
                  </a:cxnSp>
                  <a:cxnSp>
                    <a:nvCxnSpPr>
                      <a:cNvPr id="39" name="Straight Arrow Connector 38"/>
                      <a:cNvCxnSpPr/>
                    </a:nvCxnSpPr>
                    <a:spPr>
                      <a:xfrm flipV="1">
                        <a:off x="2843808" y="4437112"/>
                        <a:ext cx="1800200" cy="216024"/>
                      </a:xfrm>
                      <a:prstGeom prst="straightConnector1">
                        <a:avLst/>
                      </a:prstGeom>
                      <a:ln>
                        <a:solidFill>
                          <a:schemeClr val="bg1"/>
                        </a:solidFill>
                        <a:tailEnd type="arrow"/>
                      </a:ln>
                    </a:spPr>
                    <a:style>
                      <a:lnRef idx="3">
                        <a:schemeClr val="accent2"/>
                      </a:lnRef>
                      <a:fillRef idx="0">
                        <a:schemeClr val="accent2"/>
                      </a:fillRef>
                      <a:effectRef idx="2">
                        <a:schemeClr val="accent2"/>
                      </a:effectRef>
                      <a:fontRef idx="minor">
                        <a:schemeClr val="tx1"/>
                      </a:fontRef>
                    </a:style>
                  </a:cxnSp>
                  <a:sp>
                    <a:nvSpPr>
                      <a:cNvPr id="43" name="TextBox 42"/>
                      <a:cNvSpPr txBox="1"/>
                    </a:nvSpPr>
                    <a:spPr>
                      <a:xfrm>
                        <a:off x="5220072" y="6021288"/>
                        <a:ext cx="1713931"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000" b="1" dirty="0" smtClean="0">
                              <a:solidFill>
                                <a:schemeClr val="accent3"/>
                              </a:solidFill>
                            </a:rPr>
                            <a:t>Property Maintenance Grant</a:t>
                          </a:r>
                          <a:endParaRPr lang="en-NZ" sz="1000" b="1" dirty="0">
                            <a:solidFill>
                              <a:schemeClr val="accent3"/>
                            </a:solidFill>
                          </a:endParaRPr>
                        </a:p>
                      </a:txBody>
                      <a:useSpRect/>
                    </a:txSp>
                  </a:sp>
                  <a:sp>
                    <a:nvSpPr>
                      <a:cNvPr id="44" name="TextBox 43"/>
                      <a:cNvSpPr txBox="1"/>
                    </a:nvSpPr>
                    <a:spPr>
                      <a:xfrm>
                        <a:off x="5292080" y="5373216"/>
                        <a:ext cx="1074333"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000" b="1" dirty="0" smtClean="0">
                              <a:solidFill>
                                <a:schemeClr val="accent2"/>
                              </a:solidFill>
                            </a:rPr>
                            <a:t>Vandalism Grant</a:t>
                          </a:r>
                          <a:endParaRPr lang="en-NZ" sz="1000" b="1" dirty="0">
                            <a:solidFill>
                              <a:schemeClr val="accent2"/>
                            </a:solidFill>
                          </a:endParaRPr>
                        </a:p>
                      </a:txBody>
                      <a:useSpRect/>
                    </a:txSp>
                  </a:sp>
                  <a:sp>
                    <a:nvSpPr>
                      <a:cNvPr id="45" name="TextBox 44"/>
                      <a:cNvSpPr txBox="1"/>
                    </a:nvSpPr>
                    <a:spPr>
                      <a:xfrm>
                        <a:off x="5508104" y="4797152"/>
                        <a:ext cx="1317990" cy="24622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000" b="1" dirty="0" smtClean="0">
                              <a:solidFill>
                                <a:schemeClr val="accent6"/>
                              </a:solidFill>
                            </a:rPr>
                            <a:t>Heat Light and Water</a:t>
                          </a:r>
                          <a:endParaRPr lang="en-NZ" sz="1000" b="1" dirty="0">
                            <a:solidFill>
                              <a:schemeClr val="accent6"/>
                            </a:solidFill>
                          </a:endParaRPr>
                        </a:p>
                      </a:txBody>
                      <a:useSpRect/>
                    </a:txSp>
                  </a:sp>
                  <a:sp>
                    <a:nvSpPr>
                      <a:cNvPr id="46" name="Rectangle 45"/>
                      <a:cNvSpPr/>
                    </a:nvSpPr>
                    <a:spPr>
                      <a:xfrm>
                        <a:off x="5148064" y="4005064"/>
                        <a:ext cx="1872208" cy="707886"/>
                      </a:xfrm>
                      <a:prstGeom prst="rect">
                        <a:avLst/>
                      </a:prstGeom>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000" dirty="0" smtClean="0"/>
                            <a:t>Property-related funding that isn’t covered by a specific line item in current Operational Grant </a:t>
                          </a:r>
                          <a:endParaRPr lang="en-NZ" sz="1000" dirty="0"/>
                        </a:p>
                      </a:txBody>
                      <a:useSpRect/>
                    </a:txSp>
                  </a:sp>
                  <a:sp>
                    <a:nvSpPr>
                      <a:cNvPr id="40" name="TextBox 39"/>
                      <a:cNvSpPr txBox="1"/>
                    </a:nvSpPr>
                    <a:spPr>
                      <a:xfrm>
                        <a:off x="3419872" y="4226312"/>
                        <a:ext cx="1224136" cy="193899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NZ" sz="12000" b="1" dirty="0" smtClean="0">
                              <a:ln w="31550"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a:t>
                          </a:r>
                          <a:endParaRPr lang="en-NZ" sz="12000" b="1" dirty="0">
                            <a:ln w="31550"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endParaRPr>
                        </a:p>
                      </a:txBody>
                      <a:useSpRect/>
                    </a:txSp>
                  </a:sp>
                </lc:lockedCanvas>
              </a:graphicData>
            </a:graphic>
          </wp:inline>
        </w:drawing>
      </w:r>
    </w:p>
    <w:p w:rsidR="00DD2EE0" w:rsidRDefault="00DD2EE0" w:rsidP="00DD2EE0">
      <w:pPr>
        <w:spacing w:line="252" w:lineRule="auto"/>
        <w:jc w:val="both"/>
        <w:rPr>
          <w:rFonts w:ascii="Arial" w:hAnsi="Arial"/>
          <w:sz w:val="22"/>
          <w:szCs w:val="20"/>
          <w:lang w:val="en-NZ"/>
        </w:rPr>
      </w:pPr>
      <w:r>
        <w:rPr>
          <w:rFonts w:ascii="Arial" w:hAnsi="Arial" w:cs="Arial"/>
          <w:sz w:val="22"/>
          <w:szCs w:val="22"/>
          <w:lang w:val="en-NZ"/>
        </w:rPr>
        <w:t xml:space="preserve">The ring-fencing could take a number of forms, with a single property-related funding pool, or multiple. As we work through the options, it may become clear that funding for some activities might be better left with per-child funding. </w:t>
      </w:r>
    </w:p>
    <w:p w:rsidR="00DD2EE0" w:rsidRDefault="00DD2EE0" w:rsidP="00DD2EE0">
      <w:pPr>
        <w:pStyle w:val="TRNormal"/>
        <w:ind w:left="0" w:firstLine="0"/>
        <w:jc w:val="both"/>
      </w:pPr>
    </w:p>
    <w:p w:rsidR="00DD2EE0" w:rsidRDefault="00DD2EE0" w:rsidP="00DD2EE0">
      <w:pPr>
        <w:pStyle w:val="TRNormal"/>
        <w:ind w:left="0" w:firstLine="0"/>
        <w:jc w:val="both"/>
      </w:pPr>
      <w:r>
        <w:t>Removing the flexibility of schools to transfer funding between asset management and other operating activities would have the following benefits and costs:</w:t>
      </w:r>
    </w:p>
    <w:p w:rsidR="00DD2EE0" w:rsidRDefault="00DD2EE0" w:rsidP="00DD2EE0">
      <w:pPr>
        <w:pStyle w:val="ListParagraph"/>
      </w:pPr>
    </w:p>
    <w:p w:rsidR="00DD2EE0" w:rsidRDefault="00DD2EE0" w:rsidP="00DD2EE0">
      <w:pPr>
        <w:pStyle w:val="ListParagraph"/>
      </w:pPr>
    </w:p>
    <w:p w:rsidR="00DD2EE0" w:rsidRDefault="00DD2EE0" w:rsidP="00DD2EE0">
      <w:pPr>
        <w:pStyle w:val="ListParagraph"/>
      </w:pPr>
    </w:p>
    <w:p w:rsidR="00DD2EE0" w:rsidRDefault="00DD2EE0" w:rsidP="00DD2EE0">
      <w:pPr>
        <w:pStyle w:val="ListParagraph"/>
      </w:pPr>
    </w:p>
    <w:tbl>
      <w:tblPr>
        <w:tblStyle w:val="TableGrid"/>
        <w:tblW w:w="0" w:type="auto"/>
        <w:jc w:val="center"/>
        <w:tblInd w:w="720" w:type="dxa"/>
        <w:tblLook w:val="04A0"/>
      </w:tblPr>
      <w:tblGrid>
        <w:gridCol w:w="4632"/>
        <w:gridCol w:w="4610"/>
      </w:tblGrid>
      <w:tr w:rsidR="00DD2EE0" w:rsidRPr="00F55862" w:rsidTr="007A3796">
        <w:trPr>
          <w:cnfStyle w:val="100000000000"/>
          <w:jc w:val="center"/>
        </w:trPr>
        <w:tc>
          <w:tcPr>
            <w:cnfStyle w:val="001000000000"/>
            <w:tcW w:w="4799" w:type="dxa"/>
          </w:tcPr>
          <w:p w:rsidR="00DD2EE0" w:rsidRPr="00F55862" w:rsidRDefault="00DD2EE0" w:rsidP="007A3796">
            <w:pPr>
              <w:pStyle w:val="ListParagraph"/>
              <w:ind w:left="0"/>
              <w:rPr>
                <w:rFonts w:ascii="Arial" w:hAnsi="Arial" w:cs="Arial"/>
                <w:sz w:val="18"/>
                <w:szCs w:val="18"/>
              </w:rPr>
            </w:pPr>
            <w:r w:rsidRPr="00F55862">
              <w:rPr>
                <w:rFonts w:ascii="Arial" w:hAnsi="Arial" w:cs="Arial"/>
                <w:sz w:val="18"/>
                <w:szCs w:val="18"/>
              </w:rPr>
              <w:t>Benefits</w:t>
            </w:r>
          </w:p>
        </w:tc>
        <w:tc>
          <w:tcPr>
            <w:tcW w:w="4783" w:type="dxa"/>
          </w:tcPr>
          <w:p w:rsidR="00DD2EE0" w:rsidRPr="00F55862" w:rsidRDefault="00DD2EE0" w:rsidP="007A3796">
            <w:pPr>
              <w:pStyle w:val="ListParagraph"/>
              <w:ind w:left="0"/>
              <w:cnfStyle w:val="100000000000"/>
              <w:rPr>
                <w:rFonts w:ascii="Arial" w:hAnsi="Arial" w:cs="Arial"/>
                <w:sz w:val="18"/>
                <w:szCs w:val="18"/>
              </w:rPr>
            </w:pPr>
            <w:r w:rsidRPr="00F55862">
              <w:rPr>
                <w:rFonts w:ascii="Arial" w:hAnsi="Arial" w:cs="Arial"/>
                <w:sz w:val="18"/>
                <w:szCs w:val="18"/>
              </w:rPr>
              <w:t>Costs</w:t>
            </w:r>
          </w:p>
        </w:tc>
      </w:tr>
      <w:tr w:rsidR="00DD2EE0" w:rsidRPr="00F55862" w:rsidTr="007A3796">
        <w:trPr>
          <w:cnfStyle w:val="000000100000"/>
          <w:jc w:val="center"/>
        </w:trPr>
        <w:tc>
          <w:tcPr>
            <w:cnfStyle w:val="001000000000"/>
            <w:tcW w:w="4799" w:type="dxa"/>
          </w:tcPr>
          <w:p w:rsidR="00DD2EE0" w:rsidRPr="00F55862" w:rsidRDefault="00DD2EE0" w:rsidP="007A3796">
            <w:pPr>
              <w:pStyle w:val="ListParagraph"/>
              <w:spacing w:before="0"/>
              <w:ind w:left="0"/>
              <w:rPr>
                <w:rFonts w:ascii="Arial" w:hAnsi="Arial" w:cs="Arial"/>
                <w:sz w:val="18"/>
                <w:szCs w:val="18"/>
              </w:rPr>
            </w:pPr>
            <w:r w:rsidRPr="00F55862">
              <w:rPr>
                <w:rFonts w:ascii="Arial" w:hAnsi="Arial" w:cs="Arial"/>
                <w:sz w:val="18"/>
                <w:szCs w:val="18"/>
              </w:rPr>
              <w:t>Makes it simpler for schools to understand what is expected of them, and where funding should be allocated</w:t>
            </w:r>
          </w:p>
        </w:tc>
        <w:tc>
          <w:tcPr>
            <w:tcW w:w="4783" w:type="dxa"/>
          </w:tcPr>
          <w:p w:rsidR="00DD2EE0" w:rsidRPr="00F55862" w:rsidRDefault="00DD2EE0" w:rsidP="007A3796">
            <w:pPr>
              <w:pStyle w:val="ListParagraph"/>
              <w:spacing w:before="0"/>
              <w:ind w:left="0"/>
              <w:cnfStyle w:val="000000100000"/>
              <w:rPr>
                <w:rFonts w:ascii="Arial" w:hAnsi="Arial" w:cs="Arial"/>
                <w:sz w:val="18"/>
                <w:szCs w:val="18"/>
              </w:rPr>
            </w:pPr>
            <w:r w:rsidRPr="00F55862">
              <w:rPr>
                <w:rFonts w:ascii="Arial" w:hAnsi="Arial" w:cs="Arial"/>
                <w:sz w:val="18"/>
                <w:szCs w:val="18"/>
              </w:rPr>
              <w:t>Some schools may be opposed to the loss of flexibility o</w:t>
            </w:r>
            <w:r>
              <w:rPr>
                <w:rFonts w:ascii="Arial" w:hAnsi="Arial" w:cs="Arial"/>
                <w:sz w:val="18"/>
                <w:szCs w:val="18"/>
              </w:rPr>
              <w:t>ver current quantum of operational</w:t>
            </w:r>
            <w:r w:rsidRPr="00F55862">
              <w:rPr>
                <w:rFonts w:ascii="Arial" w:hAnsi="Arial" w:cs="Arial"/>
                <w:sz w:val="18"/>
                <w:szCs w:val="18"/>
              </w:rPr>
              <w:t xml:space="preserve"> funding</w:t>
            </w:r>
          </w:p>
        </w:tc>
      </w:tr>
      <w:tr w:rsidR="00DD2EE0" w:rsidRPr="00F55862" w:rsidTr="007A3796">
        <w:trPr>
          <w:cnfStyle w:val="000000010000"/>
          <w:jc w:val="center"/>
        </w:trPr>
        <w:tc>
          <w:tcPr>
            <w:cnfStyle w:val="001000000000"/>
            <w:tcW w:w="4799" w:type="dxa"/>
          </w:tcPr>
          <w:p w:rsidR="00DD2EE0" w:rsidRPr="00F55862" w:rsidRDefault="00DD2EE0" w:rsidP="007A3796">
            <w:pPr>
              <w:pStyle w:val="ListParagraph"/>
              <w:spacing w:before="0"/>
              <w:ind w:left="0"/>
              <w:rPr>
                <w:rFonts w:ascii="Arial" w:hAnsi="Arial" w:cs="Arial"/>
                <w:sz w:val="18"/>
                <w:szCs w:val="18"/>
              </w:rPr>
            </w:pPr>
            <w:r w:rsidRPr="00F55862">
              <w:rPr>
                <w:rFonts w:ascii="Arial" w:hAnsi="Arial" w:cs="Arial"/>
                <w:sz w:val="18"/>
                <w:szCs w:val="18"/>
              </w:rPr>
              <w:t>Enables more consistent asset management decisions</w:t>
            </w:r>
          </w:p>
        </w:tc>
        <w:tc>
          <w:tcPr>
            <w:tcW w:w="4783" w:type="dxa"/>
          </w:tcPr>
          <w:p w:rsidR="00DD2EE0" w:rsidRPr="00F55862" w:rsidRDefault="00DD2EE0" w:rsidP="007A3796">
            <w:pPr>
              <w:pStyle w:val="ListParagraph"/>
              <w:spacing w:before="0"/>
              <w:ind w:left="0"/>
              <w:cnfStyle w:val="000000010000"/>
              <w:rPr>
                <w:rFonts w:ascii="Arial" w:hAnsi="Arial" w:cs="Arial"/>
                <w:sz w:val="18"/>
                <w:szCs w:val="18"/>
              </w:rPr>
            </w:pPr>
            <w:r w:rsidRPr="00F55862">
              <w:rPr>
                <w:rFonts w:ascii="Arial" w:hAnsi="Arial" w:cs="Arial"/>
                <w:sz w:val="18"/>
                <w:szCs w:val="18"/>
              </w:rPr>
              <w:t>Any items s</w:t>
            </w:r>
            <w:r>
              <w:rPr>
                <w:rFonts w:ascii="Arial" w:hAnsi="Arial" w:cs="Arial"/>
                <w:sz w:val="18"/>
                <w:szCs w:val="18"/>
              </w:rPr>
              <w:t>eparated from general operational</w:t>
            </w:r>
            <w:r w:rsidRPr="00F55862">
              <w:rPr>
                <w:rFonts w:ascii="Arial" w:hAnsi="Arial" w:cs="Arial"/>
                <w:sz w:val="18"/>
                <w:szCs w:val="18"/>
              </w:rPr>
              <w:t xml:space="preserve"> funding and tagged to specific activities must be adequately funded to deliver the required outcomes</w:t>
            </w:r>
          </w:p>
        </w:tc>
      </w:tr>
      <w:tr w:rsidR="00DD2EE0" w:rsidRPr="00F55862" w:rsidTr="007A3796">
        <w:trPr>
          <w:cnfStyle w:val="000000100000"/>
          <w:jc w:val="center"/>
        </w:trPr>
        <w:tc>
          <w:tcPr>
            <w:cnfStyle w:val="001000000000"/>
            <w:tcW w:w="4799" w:type="dxa"/>
          </w:tcPr>
          <w:p w:rsidR="00DD2EE0" w:rsidRPr="00F55862" w:rsidRDefault="00DD2EE0" w:rsidP="007A3796">
            <w:pPr>
              <w:pStyle w:val="ListParagraph"/>
              <w:spacing w:before="0"/>
              <w:ind w:left="0"/>
              <w:rPr>
                <w:rFonts w:ascii="Arial" w:hAnsi="Arial" w:cs="Arial"/>
                <w:sz w:val="18"/>
                <w:szCs w:val="18"/>
              </w:rPr>
            </w:pPr>
            <w:r w:rsidRPr="00F55862">
              <w:rPr>
                <w:rFonts w:ascii="Arial" w:hAnsi="Arial" w:cs="Arial"/>
                <w:sz w:val="18"/>
                <w:szCs w:val="18"/>
              </w:rPr>
              <w:t>Provides Ministry greater levers to control cost pressures (e.g. better incentivises whole-of-life cost decision making)</w:t>
            </w:r>
          </w:p>
        </w:tc>
        <w:tc>
          <w:tcPr>
            <w:tcW w:w="4783" w:type="dxa"/>
          </w:tcPr>
          <w:p w:rsidR="00DD2EE0" w:rsidRPr="00F55862" w:rsidRDefault="00DD2EE0" w:rsidP="007A3796">
            <w:pPr>
              <w:pStyle w:val="ListParagraph"/>
              <w:spacing w:before="0"/>
              <w:ind w:left="0"/>
              <w:cnfStyle w:val="000000100000"/>
              <w:rPr>
                <w:rFonts w:ascii="Arial" w:hAnsi="Arial" w:cs="Arial"/>
                <w:sz w:val="18"/>
                <w:szCs w:val="18"/>
              </w:rPr>
            </w:pPr>
            <w:r w:rsidRPr="00F55862">
              <w:rPr>
                <w:rFonts w:ascii="Arial" w:hAnsi="Arial" w:cs="Arial"/>
                <w:sz w:val="18"/>
                <w:szCs w:val="18"/>
              </w:rPr>
              <w:t>Greater Ministry oversight and direction requires an increase in resourcing</w:t>
            </w:r>
          </w:p>
        </w:tc>
      </w:tr>
      <w:tr w:rsidR="00DD2EE0" w:rsidRPr="00F55862" w:rsidTr="007A3796">
        <w:trPr>
          <w:cnfStyle w:val="000000010000"/>
          <w:jc w:val="center"/>
        </w:trPr>
        <w:tc>
          <w:tcPr>
            <w:cnfStyle w:val="001000000000"/>
            <w:tcW w:w="4799" w:type="dxa"/>
          </w:tcPr>
          <w:p w:rsidR="00DD2EE0" w:rsidRPr="00F55862" w:rsidRDefault="00DD2EE0" w:rsidP="007A3796">
            <w:pPr>
              <w:pStyle w:val="ListParagraph"/>
              <w:spacing w:before="0"/>
              <w:ind w:left="0"/>
              <w:rPr>
                <w:rFonts w:ascii="Arial" w:hAnsi="Arial" w:cs="Arial"/>
                <w:sz w:val="18"/>
                <w:szCs w:val="18"/>
              </w:rPr>
            </w:pPr>
            <w:r w:rsidRPr="00F55862">
              <w:rPr>
                <w:rFonts w:ascii="Arial" w:hAnsi="Arial" w:cs="Arial"/>
                <w:sz w:val="18"/>
                <w:szCs w:val="18"/>
              </w:rPr>
              <w:t>Has the potential to free up more time for school leaders to focus on education</w:t>
            </w:r>
          </w:p>
        </w:tc>
        <w:tc>
          <w:tcPr>
            <w:tcW w:w="4783" w:type="dxa"/>
          </w:tcPr>
          <w:p w:rsidR="00DD2EE0" w:rsidRPr="00F55862" w:rsidRDefault="00DD2EE0" w:rsidP="007A3796">
            <w:pPr>
              <w:pStyle w:val="ListParagraph"/>
              <w:spacing w:before="0"/>
              <w:ind w:left="0"/>
              <w:cnfStyle w:val="000000010000"/>
              <w:rPr>
                <w:rFonts w:ascii="Arial" w:hAnsi="Arial" w:cs="Arial"/>
                <w:sz w:val="18"/>
                <w:szCs w:val="18"/>
              </w:rPr>
            </w:pPr>
          </w:p>
        </w:tc>
      </w:tr>
    </w:tbl>
    <w:p w:rsidR="00DD2EE0" w:rsidRDefault="00DD2EE0" w:rsidP="00DD2EE0">
      <w:pPr>
        <w:jc w:val="both"/>
        <w:rPr>
          <w:rFonts w:ascii="Arial" w:hAnsi="Arial" w:cs="Arial"/>
          <w:sz w:val="22"/>
          <w:szCs w:val="22"/>
        </w:rPr>
      </w:pPr>
    </w:p>
    <w:p w:rsidR="00DD2EE0" w:rsidRDefault="00DD2EE0" w:rsidP="00DD2EE0">
      <w:pPr>
        <w:jc w:val="both"/>
        <w:rPr>
          <w:rFonts w:ascii="Arial" w:hAnsi="Arial" w:cs="Arial"/>
          <w:sz w:val="22"/>
          <w:szCs w:val="22"/>
        </w:rPr>
      </w:pPr>
      <w:r w:rsidRPr="00292C42">
        <w:rPr>
          <w:rFonts w:ascii="Arial" w:hAnsi="Arial" w:cs="Arial"/>
          <w:sz w:val="22"/>
          <w:szCs w:val="22"/>
        </w:rPr>
        <w:t>The rest of this document steps through opt</w:t>
      </w:r>
      <w:r>
        <w:rPr>
          <w:rFonts w:ascii="Arial" w:hAnsi="Arial" w:cs="Arial"/>
          <w:sz w:val="22"/>
          <w:szCs w:val="22"/>
        </w:rPr>
        <w:t>ions for property maintenance, h</w:t>
      </w:r>
      <w:r w:rsidRPr="00292C42">
        <w:rPr>
          <w:rFonts w:ascii="Arial" w:hAnsi="Arial" w:cs="Arial"/>
          <w:sz w:val="22"/>
          <w:szCs w:val="22"/>
        </w:rPr>
        <w:t>eat</w:t>
      </w:r>
      <w:r>
        <w:rPr>
          <w:rFonts w:ascii="Arial" w:hAnsi="Arial" w:cs="Arial"/>
          <w:sz w:val="22"/>
          <w:szCs w:val="22"/>
        </w:rPr>
        <w:t>, l</w:t>
      </w:r>
      <w:r w:rsidRPr="00292C42">
        <w:rPr>
          <w:rFonts w:ascii="Arial" w:hAnsi="Arial" w:cs="Arial"/>
          <w:sz w:val="22"/>
          <w:szCs w:val="22"/>
        </w:rPr>
        <w:t xml:space="preserve">ight and </w:t>
      </w:r>
      <w:r>
        <w:rPr>
          <w:rFonts w:ascii="Arial" w:hAnsi="Arial" w:cs="Arial"/>
          <w:sz w:val="22"/>
          <w:szCs w:val="22"/>
        </w:rPr>
        <w:t>w</w:t>
      </w:r>
      <w:r w:rsidRPr="00292C42">
        <w:rPr>
          <w:rFonts w:ascii="Arial" w:hAnsi="Arial" w:cs="Arial"/>
          <w:sz w:val="22"/>
          <w:szCs w:val="22"/>
        </w:rPr>
        <w:t>ater and vandalism in more detail.</w:t>
      </w:r>
    </w:p>
    <w:p w:rsidR="00DD2EE0" w:rsidRDefault="00DD2EE0" w:rsidP="00DD2EE0">
      <w:pPr>
        <w:jc w:val="both"/>
        <w:rPr>
          <w:rFonts w:ascii="Arial" w:hAnsi="Arial" w:cs="Arial"/>
          <w:sz w:val="22"/>
          <w:szCs w:val="22"/>
        </w:rPr>
      </w:pPr>
    </w:p>
    <w:p w:rsidR="00DD2EE0" w:rsidRDefault="00DD2EE0" w:rsidP="00DD2EE0">
      <w:pPr>
        <w:pStyle w:val="BlueSubheading3"/>
        <w:spacing w:after="0"/>
        <w:jc w:val="both"/>
        <w:rPr>
          <w:sz w:val="24"/>
          <w:szCs w:val="24"/>
        </w:rPr>
      </w:pPr>
      <w:r w:rsidRPr="00ED3D9D">
        <w:rPr>
          <w:sz w:val="24"/>
          <w:szCs w:val="24"/>
        </w:rPr>
        <w:t>Property Maintenance</w:t>
      </w:r>
    </w:p>
    <w:p w:rsidR="00DD2EE0" w:rsidRPr="00ED3D9D" w:rsidRDefault="00DD2EE0" w:rsidP="00DD2EE0">
      <w:pPr>
        <w:pStyle w:val="BlueSubheading3"/>
        <w:spacing w:before="0" w:after="0"/>
        <w:rPr>
          <w:sz w:val="24"/>
          <w:szCs w:val="24"/>
        </w:rPr>
      </w:pPr>
    </w:p>
    <w:p w:rsidR="00DD2EE0" w:rsidRDefault="00DD2EE0" w:rsidP="00DD2EE0">
      <w:pPr>
        <w:pStyle w:val="TRNormal"/>
        <w:ind w:left="0" w:firstLine="0"/>
        <w:rPr>
          <w:rFonts w:cs="Arial"/>
          <w:szCs w:val="22"/>
        </w:rPr>
      </w:pPr>
      <w:r>
        <w:rPr>
          <w:rFonts w:cs="Arial"/>
          <w:szCs w:val="22"/>
        </w:rPr>
        <w:t>At present, schools receive a property maintenance grant (PMG) as part of the operational grant.  The PMG calculation for a school is based on:</w:t>
      </w:r>
      <w:r>
        <w:rPr>
          <w:rFonts w:cs="Arial"/>
          <w:szCs w:val="22"/>
        </w:rPr>
        <w:br/>
      </w:r>
    </w:p>
    <w:p w:rsidR="00DD2EE0" w:rsidRDefault="00DD2EE0" w:rsidP="00DD2EE0">
      <w:pPr>
        <w:pStyle w:val="ListParagraph"/>
        <w:numPr>
          <w:ilvl w:val="0"/>
          <w:numId w:val="27"/>
        </w:numPr>
        <w:spacing w:line="252" w:lineRule="auto"/>
        <w:ind w:left="1208" w:hanging="357"/>
        <w:contextualSpacing w:val="0"/>
        <w:jc w:val="both"/>
        <w:rPr>
          <w:rFonts w:ascii="Arial" w:hAnsi="Arial" w:cs="Arial"/>
          <w:sz w:val="22"/>
          <w:szCs w:val="22"/>
          <w:lang w:val="en-NZ"/>
        </w:rPr>
      </w:pPr>
      <w:r w:rsidRPr="00FF2C1F">
        <w:rPr>
          <w:rFonts w:ascii="Arial" w:hAnsi="Arial" w:cs="Arial"/>
          <w:sz w:val="22"/>
          <w:szCs w:val="22"/>
          <w:lang w:val="en-NZ"/>
        </w:rPr>
        <w:t>gross area (the internal areas of a building including areas such as corridors, toilets, stairwells) of Ministry-owned or integrated buildings</w:t>
      </w:r>
    </w:p>
    <w:p w:rsidR="00DD2EE0" w:rsidRDefault="00DD2EE0" w:rsidP="00DD2EE0">
      <w:pPr>
        <w:pStyle w:val="ListParagraph"/>
        <w:spacing w:line="252" w:lineRule="auto"/>
        <w:ind w:left="1208"/>
        <w:contextualSpacing w:val="0"/>
        <w:jc w:val="both"/>
        <w:rPr>
          <w:rFonts w:ascii="Arial" w:hAnsi="Arial" w:cs="Arial"/>
          <w:sz w:val="22"/>
          <w:szCs w:val="22"/>
          <w:lang w:val="en-NZ"/>
        </w:rPr>
      </w:pPr>
    </w:p>
    <w:p w:rsidR="00DD2EE0" w:rsidRDefault="00DD2EE0" w:rsidP="00DD2EE0">
      <w:pPr>
        <w:pStyle w:val="ListParagraph"/>
        <w:numPr>
          <w:ilvl w:val="0"/>
          <w:numId w:val="27"/>
        </w:numPr>
        <w:spacing w:line="252" w:lineRule="auto"/>
        <w:ind w:left="1208" w:hanging="357"/>
        <w:contextualSpacing w:val="0"/>
        <w:jc w:val="both"/>
        <w:rPr>
          <w:rFonts w:ascii="Arial" w:hAnsi="Arial" w:cs="Arial"/>
          <w:sz w:val="22"/>
          <w:szCs w:val="22"/>
          <w:lang w:val="en-NZ"/>
        </w:rPr>
      </w:pPr>
      <w:r w:rsidRPr="00FF2C1F">
        <w:rPr>
          <w:rFonts w:ascii="Arial" w:hAnsi="Arial" w:cs="Arial"/>
          <w:sz w:val="22"/>
          <w:szCs w:val="22"/>
          <w:lang w:val="en-NZ"/>
        </w:rPr>
        <w:t>square metres of painted surfaces</w:t>
      </w:r>
    </w:p>
    <w:p w:rsidR="00DD2EE0" w:rsidRPr="003F031E" w:rsidRDefault="00DD2EE0" w:rsidP="00DD2EE0">
      <w:pPr>
        <w:spacing w:line="252" w:lineRule="auto"/>
        <w:jc w:val="both"/>
        <w:rPr>
          <w:rFonts w:ascii="Arial" w:hAnsi="Arial" w:cs="Arial"/>
          <w:sz w:val="22"/>
          <w:szCs w:val="22"/>
          <w:lang w:val="en-NZ"/>
        </w:rPr>
      </w:pPr>
    </w:p>
    <w:p w:rsidR="00DD2EE0" w:rsidRDefault="00DD2EE0" w:rsidP="00DD2EE0">
      <w:pPr>
        <w:pStyle w:val="ListParagraph"/>
        <w:numPr>
          <w:ilvl w:val="0"/>
          <w:numId w:val="27"/>
        </w:numPr>
        <w:spacing w:line="252" w:lineRule="auto"/>
        <w:ind w:left="1208" w:hanging="357"/>
        <w:contextualSpacing w:val="0"/>
        <w:jc w:val="both"/>
        <w:rPr>
          <w:rFonts w:ascii="Arial" w:hAnsi="Arial" w:cs="Arial"/>
          <w:sz w:val="22"/>
          <w:szCs w:val="22"/>
          <w:lang w:val="en-NZ"/>
        </w:rPr>
      </w:pPr>
      <w:r w:rsidRPr="00FF2C1F">
        <w:rPr>
          <w:rFonts w:ascii="Arial" w:hAnsi="Arial" w:cs="Arial"/>
          <w:sz w:val="22"/>
          <w:szCs w:val="22"/>
          <w:lang w:val="en-NZ"/>
        </w:rPr>
        <w:t>cubic capacity of the swimming pool</w:t>
      </w:r>
    </w:p>
    <w:p w:rsidR="00DD2EE0" w:rsidRPr="003F031E" w:rsidRDefault="00DD2EE0" w:rsidP="00DD2EE0">
      <w:pPr>
        <w:spacing w:line="252" w:lineRule="auto"/>
        <w:jc w:val="both"/>
        <w:rPr>
          <w:rFonts w:ascii="Arial" w:hAnsi="Arial" w:cs="Arial"/>
          <w:sz w:val="22"/>
          <w:szCs w:val="22"/>
          <w:lang w:val="en-NZ"/>
        </w:rPr>
      </w:pPr>
    </w:p>
    <w:p w:rsidR="00DD2EE0" w:rsidRDefault="00DD2EE0" w:rsidP="00DD2EE0">
      <w:pPr>
        <w:pStyle w:val="ListParagraph"/>
        <w:numPr>
          <w:ilvl w:val="0"/>
          <w:numId w:val="27"/>
        </w:numPr>
        <w:spacing w:line="252" w:lineRule="auto"/>
        <w:ind w:left="1208" w:hanging="357"/>
        <w:contextualSpacing w:val="0"/>
        <w:jc w:val="both"/>
        <w:rPr>
          <w:rFonts w:ascii="Arial" w:hAnsi="Arial" w:cs="Arial"/>
          <w:sz w:val="22"/>
          <w:szCs w:val="22"/>
          <w:lang w:val="en-NZ"/>
        </w:rPr>
      </w:pPr>
      <w:r w:rsidRPr="00FF2C1F">
        <w:rPr>
          <w:rFonts w:ascii="Arial" w:hAnsi="Arial" w:cs="Arial"/>
          <w:sz w:val="22"/>
          <w:szCs w:val="22"/>
          <w:lang w:val="en-NZ"/>
        </w:rPr>
        <w:t>the ‘corrosion factor’ for schools in areas where buildings are subject to very high corrosion from extreme weather and salt spray (it provides a top-up for these schools to carry out the more frequent maintenance needed)</w:t>
      </w:r>
    </w:p>
    <w:p w:rsidR="00DD2EE0" w:rsidRPr="003F031E" w:rsidRDefault="00DD2EE0" w:rsidP="00DD2EE0">
      <w:pPr>
        <w:spacing w:line="252" w:lineRule="auto"/>
        <w:jc w:val="both"/>
        <w:rPr>
          <w:rFonts w:ascii="Arial" w:hAnsi="Arial" w:cs="Arial"/>
          <w:sz w:val="22"/>
          <w:szCs w:val="22"/>
          <w:lang w:val="en-NZ"/>
        </w:rPr>
      </w:pPr>
    </w:p>
    <w:p w:rsidR="00DD2EE0" w:rsidRDefault="00DD2EE0" w:rsidP="00DD2EE0">
      <w:pPr>
        <w:pStyle w:val="ListParagraph"/>
        <w:numPr>
          <w:ilvl w:val="0"/>
          <w:numId w:val="27"/>
        </w:numPr>
        <w:spacing w:line="252" w:lineRule="auto"/>
        <w:ind w:left="1208" w:hanging="357"/>
        <w:contextualSpacing w:val="0"/>
        <w:jc w:val="both"/>
        <w:rPr>
          <w:rFonts w:ascii="Arial" w:hAnsi="Arial" w:cs="Arial"/>
          <w:sz w:val="22"/>
          <w:szCs w:val="22"/>
          <w:lang w:val="en-NZ"/>
        </w:rPr>
      </w:pPr>
      <w:proofErr w:type="gramStart"/>
      <w:r>
        <w:rPr>
          <w:rFonts w:ascii="Arial" w:hAnsi="Arial" w:cs="Arial"/>
          <w:sz w:val="22"/>
          <w:szCs w:val="22"/>
          <w:lang w:val="en-NZ"/>
        </w:rPr>
        <w:t>t</w:t>
      </w:r>
      <w:r w:rsidRPr="00FF2C1F">
        <w:rPr>
          <w:rFonts w:ascii="Arial" w:hAnsi="Arial" w:cs="Arial"/>
          <w:sz w:val="22"/>
          <w:szCs w:val="22"/>
          <w:lang w:val="en-NZ"/>
        </w:rPr>
        <w:t>he</w:t>
      </w:r>
      <w:proofErr w:type="gramEnd"/>
      <w:r w:rsidRPr="00FF2C1F">
        <w:rPr>
          <w:rFonts w:ascii="Arial" w:hAnsi="Arial" w:cs="Arial"/>
          <w:sz w:val="22"/>
          <w:szCs w:val="22"/>
          <w:lang w:val="en-NZ"/>
        </w:rPr>
        <w:t xml:space="preserve"> ‘isolation factor’, which is linked to the isolation index used in operational funding (it is an adjustment for schools in isolated areas that have extra costs due to their remoteness).</w:t>
      </w:r>
    </w:p>
    <w:p w:rsidR="00DD2EE0" w:rsidRPr="003F031E" w:rsidRDefault="00DD2EE0" w:rsidP="00DD2EE0">
      <w:pPr>
        <w:pStyle w:val="ListParagraph"/>
        <w:rPr>
          <w:rFonts w:ascii="Arial" w:hAnsi="Arial" w:cs="Arial"/>
          <w:sz w:val="22"/>
          <w:szCs w:val="22"/>
          <w:lang w:val="en-NZ"/>
        </w:rPr>
      </w:pPr>
    </w:p>
    <w:p w:rsidR="00DD2EE0" w:rsidRPr="000A4FD1" w:rsidRDefault="00DD2EE0" w:rsidP="00DD2EE0">
      <w:pPr>
        <w:pStyle w:val="BlueSubheading3"/>
        <w:spacing w:before="0" w:after="0"/>
        <w:rPr>
          <w:rFonts w:eastAsia="Times New Roman" w:cs="Arial"/>
          <w:bCs w:val="0"/>
          <w:color w:val="auto"/>
          <w:sz w:val="22"/>
        </w:rPr>
      </w:pPr>
      <w:r w:rsidRPr="000A4FD1">
        <w:rPr>
          <w:rFonts w:eastAsia="Times New Roman" w:cs="Arial"/>
          <w:bCs w:val="0"/>
          <w:color w:val="auto"/>
          <w:sz w:val="22"/>
        </w:rPr>
        <w:t>Options considered</w:t>
      </w:r>
      <w:r>
        <w:rPr>
          <w:rFonts w:eastAsia="Times New Roman" w:cs="Arial"/>
          <w:bCs w:val="0"/>
          <w:color w:val="auto"/>
          <w:sz w:val="22"/>
        </w:rPr>
        <w:t>:</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We have </w:t>
      </w:r>
      <w:r w:rsidR="00B31057">
        <w:rPr>
          <w:rFonts w:cs="Arial"/>
          <w:szCs w:val="22"/>
        </w:rPr>
        <w:t xml:space="preserve">done some preliminary exploration of </w:t>
      </w:r>
      <w:r>
        <w:rPr>
          <w:rFonts w:cs="Arial"/>
          <w:szCs w:val="22"/>
        </w:rPr>
        <w:t>three options for how the funding system might support property maintenance:</w:t>
      </w:r>
    </w:p>
    <w:p w:rsidR="00DD2EE0" w:rsidRDefault="00DD2EE0" w:rsidP="00DD2EE0">
      <w:pPr>
        <w:pStyle w:val="TRNormal"/>
        <w:ind w:left="0" w:firstLine="0"/>
        <w:jc w:val="both"/>
        <w:rPr>
          <w:rFonts w:cs="Arial"/>
          <w:szCs w:val="22"/>
        </w:rPr>
      </w:pPr>
    </w:p>
    <w:p w:rsidR="00DD2EE0" w:rsidRPr="003F031E" w:rsidRDefault="00DD2EE0" w:rsidP="00DD2EE0">
      <w:pPr>
        <w:pStyle w:val="TRNormal"/>
        <w:numPr>
          <w:ilvl w:val="0"/>
          <w:numId w:val="40"/>
        </w:numPr>
        <w:jc w:val="both"/>
        <w:rPr>
          <w:rFonts w:cs="Arial"/>
          <w:szCs w:val="22"/>
        </w:rPr>
      </w:pPr>
      <w:r w:rsidRPr="000406ED">
        <w:rPr>
          <w:rFonts w:cs="Arial"/>
          <w:b/>
          <w:szCs w:val="22"/>
        </w:rPr>
        <w:t>Retaining the status quo</w:t>
      </w:r>
      <w:r>
        <w:rPr>
          <w:rFonts w:cs="Arial"/>
          <w:szCs w:val="22"/>
        </w:rPr>
        <w:t xml:space="preserve"> </w:t>
      </w:r>
      <w:r w:rsidRPr="007460C2">
        <w:rPr>
          <w:rFonts w:cs="Arial"/>
          <w:szCs w:val="22"/>
        </w:rPr>
        <w:t xml:space="preserve">- </w:t>
      </w:r>
      <w:r w:rsidRPr="007460C2">
        <w:rPr>
          <w:rFonts w:eastAsiaTheme="majorEastAsia" w:cs="Arial"/>
          <w:bCs/>
          <w:szCs w:val="22"/>
        </w:rPr>
        <w:t>continue to provide PMG based on curr</w:t>
      </w:r>
      <w:r>
        <w:rPr>
          <w:rFonts w:eastAsiaTheme="majorEastAsia" w:cs="Arial"/>
          <w:bCs/>
          <w:szCs w:val="22"/>
        </w:rPr>
        <w:t>ent formula and as part of the operational</w:t>
      </w:r>
      <w:r w:rsidRPr="007460C2">
        <w:rPr>
          <w:rFonts w:eastAsiaTheme="majorEastAsia" w:cs="Arial"/>
          <w:bCs/>
          <w:szCs w:val="22"/>
        </w:rPr>
        <w:t xml:space="preserve"> </w:t>
      </w:r>
      <w:r>
        <w:rPr>
          <w:rFonts w:eastAsiaTheme="majorEastAsia" w:cs="Arial"/>
          <w:bCs/>
          <w:szCs w:val="22"/>
        </w:rPr>
        <w:t>gr</w:t>
      </w:r>
      <w:r w:rsidRPr="007460C2">
        <w:rPr>
          <w:rFonts w:eastAsiaTheme="majorEastAsia" w:cs="Arial"/>
          <w:bCs/>
          <w:szCs w:val="22"/>
        </w:rPr>
        <w:t>ant.</w:t>
      </w:r>
    </w:p>
    <w:p w:rsidR="00DD2EE0" w:rsidRPr="007460C2" w:rsidRDefault="00DD2EE0" w:rsidP="00DD2EE0">
      <w:pPr>
        <w:pStyle w:val="TRNormal"/>
        <w:ind w:left="720" w:firstLine="0"/>
        <w:jc w:val="both"/>
        <w:rPr>
          <w:rFonts w:cs="Arial"/>
          <w:szCs w:val="22"/>
        </w:rPr>
      </w:pPr>
    </w:p>
    <w:p w:rsidR="00DD2EE0" w:rsidRDefault="00DD2EE0" w:rsidP="00DD2EE0">
      <w:pPr>
        <w:pStyle w:val="TRNormal"/>
        <w:numPr>
          <w:ilvl w:val="0"/>
          <w:numId w:val="40"/>
        </w:numPr>
        <w:jc w:val="both"/>
        <w:rPr>
          <w:rFonts w:eastAsiaTheme="majorEastAsia" w:cs="Arial"/>
          <w:bCs/>
          <w:szCs w:val="22"/>
        </w:rPr>
      </w:pPr>
      <w:r w:rsidRPr="000406ED">
        <w:rPr>
          <w:rFonts w:eastAsiaTheme="majorEastAsia" w:cs="Arial"/>
          <w:b/>
          <w:bCs/>
          <w:szCs w:val="22"/>
        </w:rPr>
        <w:t>Developing a new formula</w:t>
      </w:r>
      <w:r w:rsidRPr="007460C2">
        <w:rPr>
          <w:rFonts w:eastAsiaTheme="majorEastAsia" w:cs="Arial"/>
          <w:bCs/>
          <w:szCs w:val="22"/>
        </w:rPr>
        <w:t xml:space="preserve"> </w:t>
      </w:r>
      <w:r>
        <w:rPr>
          <w:rFonts w:eastAsiaTheme="majorEastAsia" w:cs="Arial"/>
          <w:bCs/>
          <w:szCs w:val="22"/>
        </w:rPr>
        <w:t>to b</w:t>
      </w:r>
      <w:r w:rsidRPr="007460C2">
        <w:rPr>
          <w:rFonts w:eastAsiaTheme="majorEastAsia" w:cs="Arial"/>
          <w:bCs/>
          <w:szCs w:val="22"/>
        </w:rPr>
        <w:t xml:space="preserve">etter allocate </w:t>
      </w:r>
      <w:r>
        <w:rPr>
          <w:rFonts w:eastAsiaTheme="majorEastAsia" w:cs="Arial"/>
          <w:bCs/>
          <w:szCs w:val="22"/>
        </w:rPr>
        <w:t xml:space="preserve">the </w:t>
      </w:r>
      <w:r w:rsidRPr="007460C2">
        <w:rPr>
          <w:rFonts w:eastAsiaTheme="majorEastAsia" w:cs="Arial"/>
          <w:bCs/>
          <w:szCs w:val="22"/>
        </w:rPr>
        <w:t>existing c. $90 million based on asset characteristics that are</w:t>
      </w:r>
      <w:r>
        <w:rPr>
          <w:rFonts w:eastAsiaTheme="majorEastAsia" w:cs="Arial"/>
          <w:bCs/>
          <w:szCs w:val="22"/>
        </w:rPr>
        <w:t xml:space="preserve"> driving maintenance costs, and continue to provide this funding as part of the operational grant</w:t>
      </w:r>
    </w:p>
    <w:p w:rsidR="00DD2EE0" w:rsidRDefault="00DD2EE0" w:rsidP="00DD2EE0">
      <w:pPr>
        <w:pStyle w:val="TRNormal"/>
        <w:ind w:left="0" w:firstLine="0"/>
        <w:jc w:val="both"/>
        <w:rPr>
          <w:rFonts w:eastAsiaTheme="majorEastAsia" w:cs="Arial"/>
          <w:bCs/>
          <w:szCs w:val="22"/>
        </w:rPr>
      </w:pPr>
    </w:p>
    <w:p w:rsidR="00DD2EE0" w:rsidRPr="003F031E" w:rsidRDefault="00DD2EE0" w:rsidP="00DD2EE0">
      <w:pPr>
        <w:pStyle w:val="TRNormal"/>
        <w:numPr>
          <w:ilvl w:val="0"/>
          <w:numId w:val="40"/>
        </w:numPr>
        <w:jc w:val="both"/>
        <w:rPr>
          <w:rFonts w:cs="Arial"/>
          <w:szCs w:val="22"/>
        </w:rPr>
      </w:pPr>
      <w:r w:rsidRPr="000406ED">
        <w:rPr>
          <w:rFonts w:eastAsiaTheme="majorEastAsia" w:cs="Arial"/>
          <w:b/>
          <w:bCs/>
          <w:szCs w:val="22"/>
        </w:rPr>
        <w:t>‘Ring-fence’ PMG</w:t>
      </w:r>
      <w:r w:rsidRPr="007460C2">
        <w:rPr>
          <w:rFonts w:eastAsiaTheme="majorEastAsia" w:cs="Arial"/>
          <w:bCs/>
          <w:szCs w:val="22"/>
        </w:rPr>
        <w:t xml:space="preserve"> so that it must be spent on property maintenance activities and unspent funding is returned to the Ministry. Unspent funds used to reallocate to schools that need more </w:t>
      </w:r>
      <w:r w:rsidRPr="00FD6305">
        <w:rPr>
          <w:rFonts w:eastAsiaTheme="majorEastAsia" w:cs="Arial"/>
          <w:bCs/>
          <w:szCs w:val="22"/>
        </w:rPr>
        <w:t>maintenance support. Requires clearly specifying maintenance standards for boards and monitoring performance</w:t>
      </w:r>
    </w:p>
    <w:p w:rsidR="00DD2EE0" w:rsidRPr="00FD6305" w:rsidRDefault="00DD2EE0" w:rsidP="00DD2EE0">
      <w:pPr>
        <w:pStyle w:val="TRNormal"/>
        <w:ind w:left="0" w:firstLine="0"/>
        <w:jc w:val="both"/>
        <w:rPr>
          <w:rFonts w:cs="Arial"/>
          <w:szCs w:val="22"/>
        </w:rPr>
      </w:pPr>
    </w:p>
    <w:p w:rsidR="00DD2EE0" w:rsidRPr="007460C2" w:rsidRDefault="00DD2EE0" w:rsidP="00DD2EE0">
      <w:pPr>
        <w:pStyle w:val="TRNormal"/>
        <w:numPr>
          <w:ilvl w:val="0"/>
          <w:numId w:val="40"/>
        </w:numPr>
        <w:jc w:val="both"/>
        <w:rPr>
          <w:rFonts w:cs="Arial"/>
          <w:szCs w:val="22"/>
        </w:rPr>
      </w:pPr>
      <w:r w:rsidRPr="000406ED">
        <w:rPr>
          <w:rFonts w:eastAsiaTheme="majorEastAsia" w:cs="Arial"/>
          <w:b/>
          <w:bCs/>
          <w:szCs w:val="22"/>
        </w:rPr>
        <w:t>Centralise PMG funding</w:t>
      </w:r>
      <w:r>
        <w:rPr>
          <w:rFonts w:eastAsiaTheme="majorEastAsia" w:cs="Arial"/>
          <w:bCs/>
          <w:szCs w:val="22"/>
        </w:rPr>
        <w:t xml:space="preserve"> -</w:t>
      </w:r>
      <w:r w:rsidRPr="00FD6305">
        <w:rPr>
          <w:rFonts w:eastAsiaTheme="majorEastAsia" w:cs="Arial"/>
          <w:bCs/>
          <w:szCs w:val="22"/>
        </w:rPr>
        <w:t xml:space="preserve"> </w:t>
      </w:r>
      <w:r>
        <w:rPr>
          <w:rFonts w:eastAsiaTheme="majorEastAsia" w:cs="Arial"/>
          <w:bCs/>
          <w:szCs w:val="22"/>
        </w:rPr>
        <w:t>r</w:t>
      </w:r>
      <w:r w:rsidRPr="00FD6305">
        <w:rPr>
          <w:rFonts w:eastAsiaTheme="majorEastAsia" w:cs="Arial"/>
          <w:bCs/>
          <w:szCs w:val="22"/>
        </w:rPr>
        <w:t>ather than provide boards with PMG, schools receive the services in-kind. The Ministry would be responsible for arranging the services (like it does with Building Warrants of Fitness), possibly through regional facilities management contracts.</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p>
    <w:tbl>
      <w:tblPr>
        <w:tblStyle w:val="TableGrid"/>
        <w:tblW w:w="9889" w:type="dxa"/>
        <w:tblLayout w:type="fixed"/>
        <w:tblLook w:val="04A0"/>
      </w:tblPr>
      <w:tblGrid>
        <w:gridCol w:w="1809"/>
        <w:gridCol w:w="3402"/>
        <w:gridCol w:w="4678"/>
      </w:tblGrid>
      <w:tr w:rsidR="00DD2EE0" w:rsidRPr="00EA65EF" w:rsidTr="00DD2EE0">
        <w:trPr>
          <w:cnfStyle w:val="100000000000"/>
          <w:cantSplit w:val="off"/>
          <w:trHeight w:val="351"/>
        </w:trPr>
        <w:tc>
          <w:tcPr>
            <w:cnfStyle w:val="001000000000"/>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7460C2" w:rsidRDefault="00DD2EE0" w:rsidP="007A3796">
            <w:pPr>
              <w:pStyle w:val="MoEQuoteBold"/>
              <w:tabs>
                <w:tab w:val="left" w:pos="0"/>
              </w:tabs>
              <w:spacing w:before="0" w:after="0"/>
              <w:ind w:left="0"/>
              <w:rPr>
                <w:rFonts w:ascii="Arial" w:eastAsiaTheme="majorEastAsia" w:hAnsi="Arial" w:cs="Arial"/>
                <w:bCs/>
                <w:color w:val="auto"/>
                <w:sz w:val="22"/>
                <w:szCs w:val="22"/>
              </w:rPr>
            </w:pPr>
            <w:r w:rsidRPr="007460C2">
              <w:rPr>
                <w:rFonts w:ascii="Arial" w:eastAsiaTheme="majorEastAsia" w:hAnsi="Arial" w:cs="Arial"/>
                <w:bCs/>
                <w:color w:val="auto"/>
                <w:sz w:val="22"/>
                <w:szCs w:val="22"/>
              </w:rPr>
              <w:t>Option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EA65EF" w:rsidRDefault="00DD2EE0" w:rsidP="007A3796">
            <w:pPr>
              <w:pStyle w:val="MoEQuoteBold"/>
              <w:spacing w:before="0" w:after="0"/>
              <w:ind w:left="0"/>
              <w:cnfStyle w:val="100000000000"/>
              <w:rPr>
                <w:rFonts w:ascii="Arial" w:eastAsiaTheme="majorEastAsia" w:hAnsi="Arial" w:cs="Arial"/>
                <w:bCs/>
                <w:i/>
                <w:color w:val="auto"/>
                <w:sz w:val="22"/>
                <w:szCs w:val="22"/>
              </w:rPr>
            </w:pPr>
            <w:r w:rsidRPr="00EA65EF">
              <w:rPr>
                <w:rFonts w:ascii="Arial" w:eastAsiaTheme="majorEastAsia" w:hAnsi="Arial" w:cs="Arial"/>
                <w:bCs/>
                <w:i/>
                <w:color w:val="auto"/>
                <w:sz w:val="22"/>
                <w:szCs w:val="22"/>
              </w:rPr>
              <w:t xml:space="preserve">Advantages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EA65EF" w:rsidRDefault="00DD2EE0" w:rsidP="007A3796">
            <w:pPr>
              <w:pStyle w:val="MoEQuoteBold"/>
              <w:spacing w:before="0" w:after="0"/>
              <w:ind w:left="0"/>
              <w:cnfStyle w:val="100000000000"/>
              <w:rPr>
                <w:rFonts w:ascii="Arial" w:eastAsiaTheme="majorEastAsia" w:hAnsi="Arial" w:cs="Arial"/>
                <w:bCs/>
                <w:i/>
                <w:color w:val="auto"/>
                <w:sz w:val="22"/>
                <w:szCs w:val="22"/>
              </w:rPr>
            </w:pPr>
            <w:r w:rsidRPr="00EA65EF">
              <w:rPr>
                <w:rFonts w:ascii="Arial" w:eastAsiaTheme="majorEastAsia" w:hAnsi="Arial" w:cs="Arial"/>
                <w:bCs/>
                <w:i/>
                <w:color w:val="auto"/>
                <w:sz w:val="22"/>
                <w:szCs w:val="22"/>
              </w:rPr>
              <w:t>Disadvantages</w:t>
            </w:r>
          </w:p>
        </w:tc>
      </w:tr>
      <w:tr w:rsidR="00DD2EE0" w:rsidRPr="00EA65EF" w:rsidTr="00DD2EE0">
        <w:trPr>
          <w:cnfStyle w:val="000000100000"/>
          <w:cantSplit w:val="off"/>
          <w:trHeight w:val="850"/>
        </w:trPr>
        <w:tc>
          <w:tcPr>
            <w:cnfStyle w:val="001000000000"/>
            <w:tcW w:w="1809" w:type="dxa"/>
            <w:tcBorders>
              <w:top w:val="single" w:sz="4" w:space="0" w:color="auto"/>
              <w:left w:val="single" w:sz="4" w:space="0" w:color="auto"/>
              <w:bottom w:val="single" w:sz="4" w:space="0" w:color="auto"/>
              <w:right w:val="single" w:sz="4" w:space="0" w:color="auto"/>
            </w:tcBorders>
          </w:tcPr>
          <w:p w:rsidR="00DD2EE0" w:rsidRDefault="00DD2EE0" w:rsidP="007A3796">
            <w:pPr>
              <w:pStyle w:val="MoEQuoteBold"/>
              <w:numPr>
                <w:ilvl w:val="0"/>
                <w:numId w:val="41"/>
              </w:numPr>
              <w:spacing w:before="0" w:after="0"/>
              <w:ind w:left="426"/>
              <w:rPr>
                <w:rFonts w:ascii="Arial" w:eastAsiaTheme="majorEastAsia" w:hAnsi="Arial" w:cs="Arial"/>
                <w:bCs/>
                <w:color w:val="auto"/>
                <w:sz w:val="22"/>
                <w:szCs w:val="22"/>
              </w:rPr>
            </w:pPr>
          </w:p>
          <w:p w:rsidR="00DD2EE0" w:rsidRPr="007460C2" w:rsidRDefault="00DD2EE0" w:rsidP="007A3796">
            <w:pPr>
              <w:pStyle w:val="MoEQuoteBold"/>
              <w:spacing w:before="0" w:after="0"/>
              <w:ind w:left="66"/>
              <w:rPr>
                <w:rFonts w:ascii="Arial" w:eastAsiaTheme="majorEastAsia" w:hAnsi="Arial" w:cs="Arial"/>
                <w:bCs/>
                <w:color w:val="auto"/>
                <w:sz w:val="22"/>
                <w:szCs w:val="22"/>
              </w:rPr>
            </w:pPr>
            <w:r w:rsidRPr="007460C2">
              <w:rPr>
                <w:rFonts w:ascii="Arial" w:eastAsiaTheme="majorEastAsia" w:hAnsi="Arial" w:cs="Arial"/>
                <w:bCs/>
                <w:color w:val="auto"/>
                <w:sz w:val="22"/>
                <w:szCs w:val="22"/>
              </w:rPr>
              <w:t>Status quo</w:t>
            </w:r>
          </w:p>
        </w:tc>
        <w:tc>
          <w:tcPr>
            <w:tcW w:w="3402" w:type="dxa"/>
            <w:tcBorders>
              <w:top w:val="single" w:sz="4" w:space="0" w:color="auto"/>
              <w:left w:val="single" w:sz="4" w:space="0" w:color="auto"/>
              <w:bottom w:val="single" w:sz="4" w:space="0" w:color="auto"/>
              <w:right w:val="single" w:sz="4" w:space="0" w:color="auto"/>
            </w:tcBorders>
          </w:tcPr>
          <w:p w:rsidR="00DD2EE0"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Administ</w:t>
            </w:r>
            <w:r w:rsidR="00175D2C">
              <w:rPr>
                <w:rFonts w:ascii="Arial" w:eastAsiaTheme="majorEastAsia" w:hAnsi="Arial" w:cs="Arial"/>
                <w:b w:val="0"/>
                <w:bCs/>
                <w:color w:val="auto"/>
                <w:sz w:val="22"/>
                <w:szCs w:val="22"/>
              </w:rPr>
              <w:t>ratively simple</w:t>
            </w:r>
          </w:p>
          <w:p w:rsidR="00DD2EE0" w:rsidRPr="009E42FF" w:rsidRDefault="00DD2EE0" w:rsidP="007A3796">
            <w:pPr>
              <w:pStyle w:val="MoEQuoteBold"/>
              <w:spacing w:before="0" w:after="0"/>
              <w:ind w:left="0"/>
              <w:cnfStyle w:val="00000010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Provides high degree of flexibility for schools</w:t>
            </w:r>
          </w:p>
        </w:tc>
        <w:tc>
          <w:tcPr>
            <w:tcW w:w="4678" w:type="dxa"/>
            <w:tcBorders>
              <w:top w:val="single" w:sz="4" w:space="0" w:color="auto"/>
              <w:left w:val="single" w:sz="4" w:space="0" w:color="auto"/>
              <w:bottom w:val="single" w:sz="4" w:space="0" w:color="auto"/>
              <w:right w:val="single" w:sz="4" w:space="0" w:color="auto"/>
            </w:tcBorders>
          </w:tcPr>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Lack of clarity about outcomes sought with the funding</w:t>
            </w:r>
          </w:p>
          <w:p w:rsidR="00DD2EE0" w:rsidRPr="009E42FF"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Hasn’t led to consistently good asset management outcomes at schools</w:t>
            </w:r>
          </w:p>
          <w:p w:rsidR="00DD2EE0" w:rsidRPr="009E42FF"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Lack of transparency over how money is spent on property, which makes it hard to assess if a school is being underfunded / seek increase in total quantum from Government as no guarantee additional investment will be spent on assets</w:t>
            </w:r>
          </w:p>
          <w:p w:rsidR="00DD2EE0" w:rsidRPr="009E42FF"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Requires significant school leadership time to determine appropriate spend on property and manage related activities</w:t>
            </w:r>
          </w:p>
        </w:tc>
      </w:tr>
      <w:tr w:rsidR="00DD2EE0" w:rsidRPr="00EA65EF" w:rsidTr="00DD2EE0">
        <w:trPr>
          <w:cnfStyle w:val="000000010000"/>
          <w:cantSplit w:val="off"/>
          <w:trHeight w:val="850"/>
        </w:trPr>
        <w:tc>
          <w:tcPr>
            <w:cnfStyle w:val="001000000000"/>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Default="00DD2EE0" w:rsidP="007A3796">
            <w:pPr>
              <w:pStyle w:val="MoEQuoteBold"/>
              <w:numPr>
                <w:ilvl w:val="0"/>
                <w:numId w:val="41"/>
              </w:numPr>
              <w:spacing w:before="0" w:after="0"/>
              <w:ind w:left="426"/>
              <w:rPr>
                <w:rFonts w:ascii="Arial" w:eastAsiaTheme="majorEastAsia" w:hAnsi="Arial" w:cs="Arial"/>
                <w:bCs/>
                <w:color w:val="auto"/>
                <w:sz w:val="22"/>
                <w:szCs w:val="22"/>
              </w:rPr>
            </w:pPr>
          </w:p>
          <w:p w:rsidR="00DD2EE0" w:rsidRPr="007460C2" w:rsidRDefault="00DD2EE0" w:rsidP="007A3796">
            <w:pPr>
              <w:pStyle w:val="MoEQuoteBold"/>
              <w:spacing w:before="0" w:after="0"/>
              <w:ind w:left="66"/>
              <w:rPr>
                <w:rFonts w:ascii="Arial" w:eastAsiaTheme="majorEastAsia" w:hAnsi="Arial" w:cs="Arial"/>
                <w:bCs/>
                <w:color w:val="auto"/>
                <w:sz w:val="22"/>
                <w:szCs w:val="22"/>
              </w:rPr>
            </w:pPr>
            <w:r w:rsidRPr="007460C2">
              <w:rPr>
                <w:rFonts w:ascii="Arial" w:eastAsiaTheme="majorEastAsia" w:hAnsi="Arial" w:cs="Arial"/>
                <w:bCs/>
                <w:color w:val="auto"/>
                <w:sz w:val="22"/>
                <w:szCs w:val="22"/>
              </w:rPr>
              <w:t>New formula bu</w:t>
            </w:r>
            <w:r>
              <w:rPr>
                <w:rFonts w:ascii="Arial" w:eastAsiaTheme="majorEastAsia" w:hAnsi="Arial" w:cs="Arial"/>
                <w:bCs/>
                <w:color w:val="auto"/>
                <w:sz w:val="22"/>
                <w:szCs w:val="22"/>
              </w:rPr>
              <w:t>t PMG remains part of operational</w:t>
            </w:r>
            <w:r w:rsidRPr="007460C2">
              <w:rPr>
                <w:rFonts w:ascii="Arial" w:eastAsiaTheme="majorEastAsia" w:hAnsi="Arial" w:cs="Arial"/>
                <w:bCs/>
                <w:color w:val="auto"/>
                <w:sz w:val="22"/>
                <w:szCs w:val="22"/>
              </w:rPr>
              <w:t xml:space="preserve"> grant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Administ</w:t>
            </w:r>
            <w:r w:rsidR="00175D2C">
              <w:rPr>
                <w:rFonts w:ascii="Arial" w:eastAsiaTheme="majorEastAsia" w:hAnsi="Arial" w:cs="Arial"/>
                <w:b w:val="0"/>
                <w:bCs/>
                <w:color w:val="auto"/>
                <w:sz w:val="22"/>
                <w:szCs w:val="22"/>
              </w:rPr>
              <w:t>ratively simple</w:t>
            </w:r>
          </w:p>
          <w:p w:rsidR="00DD2EE0" w:rsidRPr="009E42FF"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Provides high degree of flexibility for schools</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More clarity about outcomes sought</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Still focussed on funding flows rather than managing for outcomes</w:t>
            </w:r>
          </w:p>
          <w:p w:rsidR="00DD2EE0" w:rsidRPr="009E42FF"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Lack of transparency over how money is spent on property, which makes it hard to assess if a school is being underfunded / seek increase in total quantum from Government as no guarantee additional investment will be spent on assets</w:t>
            </w:r>
          </w:p>
          <w:p w:rsidR="00DD2EE0" w:rsidRPr="009E42FF"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Likely to diverge from actual costs overtime, requiring another review/reset in the future</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Requires significant school leadership time to determine appropriate spend on property and manage related activities</w:t>
            </w:r>
          </w:p>
        </w:tc>
      </w:tr>
      <w:tr w:rsidR="00DD2EE0" w:rsidRPr="00EA65EF" w:rsidTr="00DD2EE0">
        <w:trPr>
          <w:cnfStyle w:val="000000100000"/>
          <w:cantSplit w:val="off"/>
          <w:trHeight w:val="850"/>
        </w:trPr>
        <w:tc>
          <w:tcPr>
            <w:cnfStyle w:val="001000000000"/>
            <w:tcW w:w="1809" w:type="dxa"/>
            <w:tcBorders>
              <w:top w:val="single" w:sz="4" w:space="0" w:color="auto"/>
              <w:left w:val="single" w:sz="4" w:space="0" w:color="auto"/>
              <w:bottom w:val="single" w:sz="4" w:space="0" w:color="auto"/>
              <w:right w:val="single" w:sz="4" w:space="0" w:color="auto"/>
            </w:tcBorders>
          </w:tcPr>
          <w:p w:rsidR="00DD2EE0" w:rsidRDefault="00DD2EE0" w:rsidP="007A3796">
            <w:pPr>
              <w:pStyle w:val="MoEQuoteBold"/>
              <w:numPr>
                <w:ilvl w:val="0"/>
                <w:numId w:val="41"/>
              </w:numPr>
              <w:spacing w:before="0" w:after="0"/>
              <w:ind w:left="426"/>
              <w:rPr>
                <w:rFonts w:ascii="Arial" w:eastAsiaTheme="majorEastAsia" w:hAnsi="Arial" w:cs="Arial"/>
                <w:bCs/>
                <w:color w:val="auto"/>
                <w:sz w:val="22"/>
                <w:szCs w:val="22"/>
              </w:rPr>
            </w:pPr>
          </w:p>
          <w:p w:rsidR="00DD2EE0" w:rsidRDefault="00DD2EE0" w:rsidP="007A3796">
            <w:pPr>
              <w:pStyle w:val="MoEQuoteBold"/>
              <w:spacing w:before="0" w:after="0"/>
              <w:ind w:left="66"/>
              <w:rPr>
                <w:rFonts w:ascii="Arial" w:eastAsiaTheme="majorEastAsia" w:hAnsi="Arial" w:cs="Arial"/>
                <w:bCs/>
                <w:color w:val="auto"/>
                <w:sz w:val="22"/>
                <w:szCs w:val="22"/>
              </w:rPr>
            </w:pPr>
            <w:r>
              <w:rPr>
                <w:rFonts w:ascii="Arial" w:eastAsiaTheme="majorEastAsia" w:hAnsi="Arial" w:cs="Arial"/>
                <w:bCs/>
                <w:color w:val="auto"/>
                <w:sz w:val="22"/>
                <w:szCs w:val="22"/>
              </w:rPr>
              <w:t>Separate PMG from operational</w:t>
            </w:r>
            <w:r w:rsidRPr="007460C2">
              <w:rPr>
                <w:rFonts w:ascii="Arial" w:eastAsiaTheme="majorEastAsia" w:hAnsi="Arial" w:cs="Arial"/>
                <w:bCs/>
                <w:color w:val="auto"/>
                <w:sz w:val="22"/>
                <w:szCs w:val="22"/>
              </w:rPr>
              <w:t xml:space="preserve"> grant </w:t>
            </w:r>
          </w:p>
          <w:p w:rsidR="00DD2EE0" w:rsidRDefault="00DD2EE0" w:rsidP="007A3796">
            <w:pPr>
              <w:pStyle w:val="MoEQuoteBold"/>
              <w:spacing w:before="0" w:after="0"/>
              <w:ind w:left="426"/>
              <w:rPr>
                <w:rFonts w:ascii="Arial" w:eastAsiaTheme="majorEastAsia" w:hAnsi="Arial" w:cs="Arial"/>
                <w:bCs/>
                <w:color w:val="auto"/>
                <w:sz w:val="22"/>
                <w:szCs w:val="22"/>
              </w:rPr>
            </w:pPr>
          </w:p>
          <w:p w:rsidR="00DD2EE0" w:rsidRPr="00FD6305" w:rsidRDefault="00DD2EE0" w:rsidP="007A3796">
            <w:pPr>
              <w:pStyle w:val="MoEQuoteBold"/>
              <w:spacing w:before="0" w:after="0"/>
              <w:ind w:left="0"/>
              <w:rPr>
                <w:rFonts w:ascii="Arial" w:eastAsiaTheme="majorEastAsia" w:hAnsi="Arial" w:cs="Arial"/>
                <w:b w:val="0"/>
                <w:bCs/>
                <w:color w:val="auto"/>
                <w:sz w:val="22"/>
                <w:szCs w:val="22"/>
              </w:rPr>
            </w:pPr>
            <w:r w:rsidRPr="00FD6305">
              <w:rPr>
                <w:rFonts w:ascii="Arial" w:eastAsiaTheme="majorEastAsia" w:hAnsi="Arial" w:cs="Arial"/>
                <w:b w:val="0"/>
                <w:bCs/>
                <w:color w:val="auto"/>
                <w:sz w:val="22"/>
                <w:szCs w:val="22"/>
              </w:rPr>
              <w:t>[preferred option]</w:t>
            </w:r>
          </w:p>
        </w:tc>
        <w:tc>
          <w:tcPr>
            <w:tcW w:w="3402" w:type="dxa"/>
            <w:tcBorders>
              <w:top w:val="single" w:sz="4" w:space="0" w:color="auto"/>
              <w:left w:val="single" w:sz="4" w:space="0" w:color="auto"/>
              <w:bottom w:val="single" w:sz="4" w:space="0" w:color="auto"/>
              <w:right w:val="single" w:sz="4" w:space="0" w:color="auto"/>
            </w:tcBorders>
          </w:tcPr>
          <w:p w:rsidR="00DD2EE0"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Clarity about outcomes sought and accountabilities</w:t>
            </w:r>
          </w:p>
          <w:p w:rsidR="00DD2EE0" w:rsidRPr="009E42FF"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Schools no longer asked to cross-subsidise maintenance from funding for teaching and learning</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 xml:space="preserve">Limits ability of schools to </w:t>
            </w:r>
            <w:proofErr w:type="spellStart"/>
            <w:r w:rsidRPr="009E42FF">
              <w:rPr>
                <w:rFonts w:ascii="Arial" w:eastAsiaTheme="majorEastAsia" w:hAnsi="Arial" w:cs="Arial"/>
                <w:b w:val="0"/>
                <w:bCs/>
                <w:color w:val="auto"/>
                <w:sz w:val="22"/>
                <w:szCs w:val="22"/>
              </w:rPr>
              <w:t>underspend</w:t>
            </w:r>
            <w:proofErr w:type="spellEnd"/>
            <w:r w:rsidRPr="009E42FF">
              <w:rPr>
                <w:rFonts w:ascii="Arial" w:eastAsiaTheme="majorEastAsia" w:hAnsi="Arial" w:cs="Arial"/>
                <w:b w:val="0"/>
                <w:bCs/>
                <w:color w:val="auto"/>
                <w:sz w:val="22"/>
                <w:szCs w:val="22"/>
              </w:rPr>
              <w:t xml:space="preserve"> (based on allocation) on maintenance</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More transparency over how money is spent on property, so the Ministry can:</w:t>
            </w:r>
          </w:p>
          <w:p w:rsidR="00DD2EE0" w:rsidRDefault="00DD2EE0" w:rsidP="007A3796">
            <w:pPr>
              <w:pStyle w:val="MoEQuoteBold"/>
              <w:spacing w:before="0" w:after="0"/>
              <w:ind w:left="567"/>
              <w:cnfStyle w:val="000000100000"/>
              <w:rPr>
                <w:rFonts w:ascii="Arial" w:eastAsiaTheme="majorEastAsia" w:hAnsi="Arial" w:cs="Arial"/>
                <w:b w:val="0"/>
                <w:bCs/>
                <w:color w:val="auto"/>
                <w:sz w:val="22"/>
                <w:szCs w:val="22"/>
              </w:rPr>
            </w:pPr>
          </w:p>
          <w:p w:rsidR="00DD2EE0" w:rsidRPr="009E42FF" w:rsidRDefault="00DD2EE0" w:rsidP="007A3796">
            <w:pPr>
              <w:pStyle w:val="MoEQuoteBold"/>
              <w:numPr>
                <w:ilvl w:val="1"/>
                <w:numId w:val="31"/>
              </w:numPr>
              <w:spacing w:before="0"/>
              <w:ind w:left="567" w:hanging="283"/>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 xml:space="preserve">determine if individual schools require more funding </w:t>
            </w:r>
          </w:p>
          <w:p w:rsidR="00DD2EE0" w:rsidRPr="009E42FF" w:rsidRDefault="00DD2EE0" w:rsidP="007A3796">
            <w:pPr>
              <w:pStyle w:val="MoEQuoteBold"/>
              <w:numPr>
                <w:ilvl w:val="1"/>
                <w:numId w:val="31"/>
              </w:numPr>
              <w:spacing w:before="0"/>
              <w:ind w:left="567" w:hanging="283"/>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make a case to increase total quantum of funding</w:t>
            </w:r>
          </w:p>
          <w:p w:rsidR="00DD2EE0" w:rsidRDefault="00DD2EE0" w:rsidP="007A3796">
            <w:pPr>
              <w:pStyle w:val="MoEQuoteBold"/>
              <w:numPr>
                <w:ilvl w:val="1"/>
                <w:numId w:val="31"/>
              </w:numPr>
              <w:spacing w:before="0" w:after="0"/>
              <w:ind w:left="568"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determine best interventions to help struggling schools, eg centralising element(s) that will make the biggest impact</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Does not preclude Ministry setting up opt-in facilities management contracts, and makes it clearer how much funding schools should forgo if they opt-in.</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Enables capital and operational funding for property to be more closely aligned to incentivise whole-of-life decision making</w:t>
            </w:r>
          </w:p>
        </w:tc>
        <w:tc>
          <w:tcPr>
            <w:tcW w:w="4678" w:type="dxa"/>
            <w:tcBorders>
              <w:top w:val="single" w:sz="4" w:space="0" w:color="auto"/>
              <w:left w:val="single" w:sz="4" w:space="0" w:color="auto"/>
              <w:bottom w:val="single" w:sz="4" w:space="0" w:color="auto"/>
              <w:right w:val="single" w:sz="4" w:space="0" w:color="auto"/>
            </w:tcBorders>
          </w:tcPr>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Reduces flexibility of schools to allocate PMG to other areas of need</w:t>
            </w:r>
          </w:p>
          <w:p w:rsidR="00DD2EE0" w:rsidRPr="009E42FF"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Changes incentives at school-level (eg spend total allocation even if not required) leading to cost escalation</w:t>
            </w:r>
          </w:p>
          <w:p w:rsidR="00DD2EE0" w:rsidRPr="009E42FF"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Requires significant school leadership time to determine appropriate spend on property and manage related activities</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Requires total PMG to be adequate to cover maintenance outcomes sought – risk of underfunding transferred to Ministry</w:t>
            </w:r>
          </w:p>
        </w:tc>
      </w:tr>
      <w:tr w:rsidR="00DD2EE0" w:rsidRPr="00EA65EF" w:rsidTr="00DD2EE0">
        <w:trPr>
          <w:cnfStyle w:val="000000010000"/>
          <w:cantSplit w:val="off"/>
          <w:trHeight w:val="850"/>
        </w:trPr>
        <w:tc>
          <w:tcPr>
            <w:cnfStyle w:val="001000000000"/>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Default="00DD2EE0" w:rsidP="007A3796">
            <w:pPr>
              <w:pStyle w:val="MoEQuoteBold"/>
              <w:numPr>
                <w:ilvl w:val="0"/>
                <w:numId w:val="41"/>
              </w:numPr>
              <w:spacing w:before="0" w:after="0"/>
              <w:ind w:left="426"/>
              <w:rPr>
                <w:rFonts w:ascii="Arial" w:eastAsiaTheme="majorEastAsia" w:hAnsi="Arial" w:cs="Arial"/>
                <w:bCs/>
                <w:color w:val="auto"/>
                <w:sz w:val="22"/>
                <w:szCs w:val="22"/>
              </w:rPr>
            </w:pPr>
          </w:p>
          <w:p w:rsidR="00DD2EE0" w:rsidRPr="007460C2" w:rsidRDefault="00DD2EE0" w:rsidP="007A3796">
            <w:pPr>
              <w:pStyle w:val="MoEQuoteBold"/>
              <w:spacing w:before="0" w:after="0"/>
              <w:ind w:left="66"/>
              <w:rPr>
                <w:rFonts w:ascii="Arial" w:eastAsiaTheme="majorEastAsia" w:hAnsi="Arial" w:cs="Arial"/>
                <w:bCs/>
                <w:color w:val="auto"/>
                <w:sz w:val="22"/>
                <w:szCs w:val="22"/>
              </w:rPr>
            </w:pPr>
            <w:r>
              <w:rPr>
                <w:rFonts w:ascii="Arial" w:eastAsiaTheme="majorEastAsia" w:hAnsi="Arial" w:cs="Arial"/>
                <w:bCs/>
                <w:color w:val="auto"/>
                <w:sz w:val="22"/>
                <w:szCs w:val="22"/>
              </w:rPr>
              <w:t>Centralise funding</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Significantly reduces time school leaders need to spend on maintenance</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Clarity about outcomes sought and accountabilities</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Schools no longer asked to cross-subsidise maintenance from funding for teaching and learning</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 xml:space="preserve">Limits ability of schools to </w:t>
            </w:r>
            <w:proofErr w:type="spellStart"/>
            <w:r w:rsidRPr="009E42FF">
              <w:rPr>
                <w:rFonts w:ascii="Arial" w:eastAsiaTheme="majorEastAsia" w:hAnsi="Arial" w:cs="Arial"/>
                <w:b w:val="0"/>
                <w:bCs/>
                <w:color w:val="auto"/>
                <w:sz w:val="22"/>
                <w:szCs w:val="22"/>
              </w:rPr>
              <w:t>underspend</w:t>
            </w:r>
            <w:proofErr w:type="spellEnd"/>
            <w:r w:rsidRPr="009E42FF">
              <w:rPr>
                <w:rFonts w:ascii="Arial" w:eastAsiaTheme="majorEastAsia" w:hAnsi="Arial" w:cs="Arial"/>
                <w:b w:val="0"/>
                <w:bCs/>
                <w:color w:val="auto"/>
                <w:sz w:val="22"/>
                <w:szCs w:val="22"/>
              </w:rPr>
              <w:t xml:space="preserve"> (based on allocation) on maintenance</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More transparency over how money is spent on property, so the Ministry can make a case to increase total quantum of funding</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Enables capital and operational funding for property to be more closely aligned to incentivise whole-of-life decision making</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Likely to cost more due to management component currently provided by schools that Ministry and private providers would have to take on</w:t>
            </w:r>
          </w:p>
          <w:p w:rsidR="00DD2EE0" w:rsidRPr="009E42FF"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Removes flexibility of schools to allocate PMG to other areas of need</w:t>
            </w:r>
          </w:p>
          <w:p w:rsidR="00DD2EE0" w:rsidRPr="009E42FF"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Changes incentives at school-level (eg won’t accept substandard condition that they may have under status quo) leading to cost escalation</w:t>
            </w:r>
          </w:p>
          <w:p w:rsidR="00DD2EE0" w:rsidRPr="009E42FF"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9E42FF">
              <w:rPr>
                <w:rFonts w:ascii="Arial" w:eastAsiaTheme="majorEastAsia" w:hAnsi="Arial" w:cs="Arial"/>
                <w:b w:val="0"/>
                <w:bCs/>
                <w:color w:val="auto"/>
                <w:sz w:val="22"/>
                <w:szCs w:val="22"/>
              </w:rPr>
              <w:t>Limited value for schools with existing property teams (eg larger secondary schools)</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9E42FF"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9E42FF">
              <w:rPr>
                <w:rFonts w:ascii="Arial" w:eastAsiaTheme="majorEastAsia" w:hAnsi="Arial" w:cs="Arial"/>
                <w:b w:val="0"/>
                <w:bCs/>
                <w:color w:val="auto"/>
                <w:sz w:val="22"/>
                <w:szCs w:val="22"/>
              </w:rPr>
              <w:t>Requires total property maintenance funding Ministry receives to be adequate to cover maintenance outcomes sought – significant risk of cost escalation for Crown</w:t>
            </w:r>
          </w:p>
        </w:tc>
      </w:tr>
    </w:tbl>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u w:val="single"/>
        </w:rPr>
        <w:t>Preliminary conclusion and issues for consideration</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At this point, based on the information to hand, the preferred option is separating PMG from the operational grant. </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The following key steps are required to assess this further, which may address some of the disadvantages noted above:</w:t>
      </w:r>
    </w:p>
    <w:p w:rsidR="00DD2EE0" w:rsidRDefault="00DD2EE0" w:rsidP="00DD2EE0">
      <w:pPr>
        <w:pStyle w:val="TRNormal"/>
        <w:ind w:left="0" w:firstLine="0"/>
        <w:jc w:val="both"/>
        <w:rPr>
          <w:rFonts w:cs="Arial"/>
          <w:szCs w:val="22"/>
        </w:rPr>
      </w:pPr>
    </w:p>
    <w:p w:rsidR="00DD2EE0" w:rsidRDefault="00DD2EE0" w:rsidP="00DD2EE0">
      <w:pPr>
        <w:pStyle w:val="TRNormal"/>
        <w:numPr>
          <w:ilvl w:val="0"/>
          <w:numId w:val="32"/>
        </w:numPr>
        <w:jc w:val="both"/>
        <w:rPr>
          <w:rFonts w:cs="Arial"/>
          <w:szCs w:val="22"/>
        </w:rPr>
      </w:pPr>
      <w:r>
        <w:rPr>
          <w:rFonts w:cs="Arial"/>
          <w:szCs w:val="22"/>
        </w:rPr>
        <w:t>Better understand how schools currently use PMG allocations</w:t>
      </w:r>
    </w:p>
    <w:p w:rsidR="00DD2EE0" w:rsidRDefault="00DD2EE0" w:rsidP="00DD2EE0">
      <w:pPr>
        <w:pStyle w:val="TRNormal"/>
        <w:ind w:left="720" w:firstLine="0"/>
        <w:jc w:val="both"/>
        <w:rPr>
          <w:rFonts w:cs="Arial"/>
          <w:szCs w:val="22"/>
        </w:rPr>
      </w:pPr>
    </w:p>
    <w:p w:rsidR="00DD2EE0" w:rsidRDefault="00DD2EE0" w:rsidP="00DD2EE0">
      <w:pPr>
        <w:pStyle w:val="TRNormal"/>
        <w:numPr>
          <w:ilvl w:val="0"/>
          <w:numId w:val="32"/>
        </w:numPr>
        <w:jc w:val="both"/>
        <w:rPr>
          <w:rFonts w:cs="Arial"/>
          <w:szCs w:val="22"/>
        </w:rPr>
      </w:pPr>
      <w:r>
        <w:rPr>
          <w:rFonts w:cs="Arial"/>
          <w:szCs w:val="22"/>
        </w:rPr>
        <w:t>Better define outcomes sought from property maintenance and determine how this will be measured and monitored</w:t>
      </w:r>
    </w:p>
    <w:p w:rsidR="00DD2EE0" w:rsidRDefault="00DD2EE0" w:rsidP="00DD2EE0">
      <w:pPr>
        <w:pStyle w:val="TRNormal"/>
        <w:ind w:left="0" w:firstLine="0"/>
        <w:jc w:val="both"/>
        <w:rPr>
          <w:rFonts w:cs="Arial"/>
          <w:szCs w:val="22"/>
        </w:rPr>
      </w:pPr>
    </w:p>
    <w:p w:rsidR="00DD2EE0" w:rsidRDefault="00DD2EE0" w:rsidP="00DD2EE0">
      <w:pPr>
        <w:pStyle w:val="TRNormal"/>
        <w:numPr>
          <w:ilvl w:val="0"/>
          <w:numId w:val="32"/>
        </w:numPr>
        <w:jc w:val="both"/>
        <w:rPr>
          <w:rFonts w:cs="Arial"/>
          <w:szCs w:val="22"/>
        </w:rPr>
      </w:pPr>
      <w:r>
        <w:rPr>
          <w:rFonts w:cs="Arial"/>
          <w:szCs w:val="22"/>
        </w:rPr>
        <w:t>Assess whether any elements will be centrally provided rather than funded in cash (see discussion below) to reduce time school leaders spend on maintenance</w:t>
      </w:r>
    </w:p>
    <w:p w:rsidR="00DD2EE0" w:rsidRDefault="00DD2EE0" w:rsidP="00DD2EE0">
      <w:pPr>
        <w:pStyle w:val="TRNormal"/>
        <w:ind w:left="0" w:firstLine="0"/>
        <w:jc w:val="both"/>
        <w:rPr>
          <w:rFonts w:cs="Arial"/>
          <w:szCs w:val="22"/>
        </w:rPr>
      </w:pPr>
    </w:p>
    <w:p w:rsidR="00DD2EE0" w:rsidRDefault="00DD2EE0" w:rsidP="00DD2EE0">
      <w:pPr>
        <w:pStyle w:val="TRNormal"/>
        <w:numPr>
          <w:ilvl w:val="0"/>
          <w:numId w:val="32"/>
        </w:numPr>
        <w:jc w:val="both"/>
        <w:rPr>
          <w:rFonts w:cs="Arial"/>
          <w:szCs w:val="22"/>
        </w:rPr>
      </w:pPr>
      <w:r>
        <w:rPr>
          <w:rFonts w:cs="Arial"/>
          <w:szCs w:val="22"/>
        </w:rPr>
        <w:t>Assess quantum of PMG to be ring-fenced (could be more or less than current allocation if a different amount can be evidenced and tied back to outcomes sought)</w:t>
      </w:r>
    </w:p>
    <w:p w:rsidR="00DD2EE0" w:rsidRDefault="00DD2EE0" w:rsidP="00DD2EE0">
      <w:pPr>
        <w:pStyle w:val="TRNormal"/>
        <w:ind w:left="0" w:firstLine="0"/>
        <w:jc w:val="both"/>
        <w:rPr>
          <w:rFonts w:cs="Arial"/>
          <w:szCs w:val="22"/>
        </w:rPr>
      </w:pPr>
    </w:p>
    <w:p w:rsidR="00DD2EE0" w:rsidRDefault="00DD2EE0" w:rsidP="00DD2EE0">
      <w:pPr>
        <w:pStyle w:val="TRNormal"/>
        <w:numPr>
          <w:ilvl w:val="0"/>
          <w:numId w:val="32"/>
        </w:numPr>
        <w:jc w:val="both"/>
        <w:rPr>
          <w:rFonts w:cs="Arial"/>
          <w:szCs w:val="22"/>
        </w:rPr>
      </w:pPr>
      <w:r>
        <w:rPr>
          <w:rFonts w:cs="Arial"/>
          <w:szCs w:val="22"/>
        </w:rPr>
        <w:t xml:space="preserve">Design mechanism for ‘ring-fencing’. May include move between appropriations (eg move funding to </w:t>
      </w:r>
      <w:r w:rsidRPr="00F824FC">
        <w:rPr>
          <w:rFonts w:cs="Arial"/>
          <w:szCs w:val="22"/>
        </w:rPr>
        <w:t xml:space="preserve">Property Portfolio Management appropriation and make </w:t>
      </w:r>
      <w:r>
        <w:rPr>
          <w:rFonts w:cs="Arial"/>
          <w:szCs w:val="22"/>
        </w:rPr>
        <w:t>the Ministry’s Education Infrastructure Service</w:t>
      </w:r>
      <w:r w:rsidRPr="00F824FC">
        <w:rPr>
          <w:rFonts w:cs="Arial"/>
          <w:szCs w:val="22"/>
        </w:rPr>
        <w:t xml:space="preserve"> responsible for its payment and monitoring</w:t>
      </w:r>
      <w:r>
        <w:rPr>
          <w:rFonts w:cs="Arial"/>
          <w:szCs w:val="22"/>
        </w:rPr>
        <w:t>).</w:t>
      </w:r>
    </w:p>
    <w:p w:rsidR="00DD2EE0" w:rsidRDefault="00DD2EE0" w:rsidP="00DD2EE0">
      <w:pPr>
        <w:pStyle w:val="TRNormal"/>
        <w:jc w:val="both"/>
        <w:rPr>
          <w:rFonts w:cs="Arial"/>
          <w:szCs w:val="22"/>
        </w:rPr>
      </w:pPr>
    </w:p>
    <w:p w:rsidR="00DD2EE0" w:rsidRDefault="00DD2EE0" w:rsidP="00DD2EE0">
      <w:pPr>
        <w:pStyle w:val="TRNormal"/>
        <w:ind w:left="0" w:firstLine="0"/>
        <w:jc w:val="both"/>
      </w:pPr>
      <w:r>
        <w:t>Centralisation has already been signalled as a possibility, on an opt-in basis, through facilities management contracts (Ministers’ 2013 8 Point Plan; pilot undertaken in 2014), and is the approach taken for public private partnerships. These examples provide a limited data set from which some preliminary assessments can be made</w:t>
      </w:r>
      <w:r>
        <w:rPr>
          <w:rStyle w:val="FootnoteReference"/>
        </w:rPr>
        <w:footnoteReference w:id="2"/>
      </w:r>
      <w:r>
        <w:t>. However, full service facilities management is only one option for centralising property maintenance funding. As with Building Warrants of Fitness, there may be other discrete activities that could be centrally managed on behalf of schools. For example, Victoria in Australia has recently introduced a central gutter cleaning contract to reduce the number of drainage and roofing issues at schools and reduce the time spent by schools on this particular activity. More information, and more work, is required to identify and assess the options for which services could be centralised.</w:t>
      </w:r>
    </w:p>
    <w:p w:rsidR="00DD2EE0" w:rsidRDefault="00DD2EE0" w:rsidP="00DD2EE0">
      <w:pPr>
        <w:pStyle w:val="TRNormal"/>
        <w:ind w:left="0" w:firstLine="0"/>
        <w:jc w:val="both"/>
      </w:pPr>
    </w:p>
    <w:p w:rsidR="00DD2EE0" w:rsidRPr="000A4FD1" w:rsidRDefault="00DD2EE0" w:rsidP="00DD2EE0">
      <w:pPr>
        <w:pStyle w:val="BlueSubheading3"/>
        <w:spacing w:after="0"/>
        <w:jc w:val="both"/>
        <w:rPr>
          <w:sz w:val="24"/>
          <w:szCs w:val="24"/>
        </w:rPr>
      </w:pPr>
      <w:r w:rsidRPr="000A4FD1">
        <w:rPr>
          <w:sz w:val="24"/>
          <w:szCs w:val="24"/>
        </w:rPr>
        <w:t xml:space="preserve">Utilities </w:t>
      </w:r>
    </w:p>
    <w:p w:rsidR="00DD2EE0" w:rsidRDefault="00DD2EE0" w:rsidP="00DD2EE0">
      <w:pPr>
        <w:pStyle w:val="BodyText"/>
        <w:spacing w:before="0" w:after="0"/>
        <w:jc w:val="both"/>
        <w:rPr>
          <w:rFonts w:cs="Arial"/>
          <w:sz w:val="22"/>
          <w:szCs w:val="22"/>
        </w:rPr>
      </w:pPr>
    </w:p>
    <w:p w:rsidR="00DD2EE0" w:rsidRDefault="00DD2EE0" w:rsidP="00DD2EE0">
      <w:pPr>
        <w:pStyle w:val="BodyText"/>
        <w:spacing w:before="0" w:after="0"/>
        <w:jc w:val="both"/>
        <w:rPr>
          <w:rFonts w:cs="Arial"/>
          <w:sz w:val="22"/>
          <w:szCs w:val="22"/>
        </w:rPr>
      </w:pPr>
      <w:r w:rsidRPr="00D667A4">
        <w:rPr>
          <w:rFonts w:cs="Arial"/>
          <w:sz w:val="22"/>
          <w:szCs w:val="22"/>
        </w:rPr>
        <w:t xml:space="preserve">The Ministry currently has a very limited data set on the actual cost of utilities for specific schools, </w:t>
      </w:r>
      <w:r>
        <w:rPr>
          <w:rFonts w:cs="Arial"/>
          <w:sz w:val="22"/>
          <w:szCs w:val="22"/>
        </w:rPr>
        <w:t>or</w:t>
      </w:r>
      <w:r w:rsidRPr="00D667A4">
        <w:rPr>
          <w:rFonts w:cs="Arial"/>
          <w:sz w:val="22"/>
          <w:szCs w:val="22"/>
        </w:rPr>
        <w:t xml:space="preserve"> the scope for savings </w:t>
      </w:r>
      <w:r>
        <w:rPr>
          <w:rFonts w:cs="Arial"/>
          <w:sz w:val="22"/>
          <w:szCs w:val="22"/>
        </w:rPr>
        <w:t xml:space="preserve">that could be realised </w:t>
      </w:r>
      <w:r w:rsidRPr="00D667A4">
        <w:rPr>
          <w:rFonts w:cs="Arial"/>
          <w:sz w:val="22"/>
          <w:szCs w:val="22"/>
        </w:rPr>
        <w:t>through smarter procurement and energy efficiency measures. This is, in part, a symptom of the current funding approach, which is administratively simple and contains some incentives for schools to reduce costs, but the Ministry is not resourced, or incentivised, to drive further efficiencies</w:t>
      </w:r>
      <w:r>
        <w:rPr>
          <w:rFonts w:cs="Arial"/>
          <w:sz w:val="22"/>
          <w:szCs w:val="22"/>
        </w:rPr>
        <w:t>.</w:t>
      </w:r>
    </w:p>
    <w:p w:rsidR="00DD2EE0" w:rsidRDefault="00DD2EE0" w:rsidP="00DD2EE0">
      <w:pPr>
        <w:pStyle w:val="BodyText"/>
        <w:spacing w:before="0" w:after="0"/>
        <w:jc w:val="both"/>
        <w:rPr>
          <w:rFonts w:cs="Arial"/>
          <w:sz w:val="22"/>
          <w:szCs w:val="22"/>
        </w:rPr>
      </w:pPr>
    </w:p>
    <w:p w:rsidR="00DD2EE0" w:rsidRDefault="00DD2EE0" w:rsidP="00DD2EE0">
      <w:pPr>
        <w:pStyle w:val="BodyText"/>
        <w:spacing w:before="0" w:after="0"/>
        <w:jc w:val="both"/>
        <w:rPr>
          <w:rFonts w:cs="Arial"/>
          <w:sz w:val="22"/>
          <w:szCs w:val="22"/>
        </w:rPr>
      </w:pPr>
      <w:r w:rsidRPr="00D667A4">
        <w:rPr>
          <w:rFonts w:cs="Arial"/>
          <w:sz w:val="22"/>
          <w:szCs w:val="22"/>
        </w:rPr>
        <w:t>Heat</w:t>
      </w:r>
      <w:r>
        <w:rPr>
          <w:rFonts w:cs="Arial"/>
          <w:sz w:val="22"/>
          <w:szCs w:val="22"/>
        </w:rPr>
        <w:t xml:space="preserve">, </w:t>
      </w:r>
      <w:proofErr w:type="gramStart"/>
      <w:r>
        <w:rPr>
          <w:rFonts w:cs="Arial"/>
          <w:sz w:val="22"/>
          <w:szCs w:val="22"/>
        </w:rPr>
        <w:t>Light</w:t>
      </w:r>
      <w:proofErr w:type="gramEnd"/>
      <w:r>
        <w:rPr>
          <w:rFonts w:cs="Arial"/>
          <w:sz w:val="22"/>
          <w:szCs w:val="22"/>
        </w:rPr>
        <w:t xml:space="preserve"> and W</w:t>
      </w:r>
      <w:r w:rsidRPr="00D667A4">
        <w:rPr>
          <w:rFonts w:cs="Arial"/>
          <w:sz w:val="22"/>
          <w:szCs w:val="22"/>
        </w:rPr>
        <w:t xml:space="preserve">ater funding is currently provided to boards of trustees as part of </w:t>
      </w:r>
      <w:r>
        <w:rPr>
          <w:rFonts w:cs="Arial"/>
          <w:sz w:val="22"/>
          <w:szCs w:val="22"/>
        </w:rPr>
        <w:t>operational grants</w:t>
      </w:r>
      <w:r w:rsidRPr="00D667A4">
        <w:rPr>
          <w:rFonts w:cs="Arial"/>
          <w:sz w:val="22"/>
          <w:szCs w:val="22"/>
        </w:rPr>
        <w:t>. This component is intended to cover:</w:t>
      </w:r>
    </w:p>
    <w:p w:rsidR="00DD2EE0" w:rsidRPr="00D667A4" w:rsidRDefault="00DD2EE0" w:rsidP="00DD2EE0">
      <w:pPr>
        <w:pStyle w:val="BodyText"/>
        <w:spacing w:before="0" w:after="0"/>
        <w:jc w:val="both"/>
        <w:rPr>
          <w:rFonts w:cs="Arial"/>
          <w:sz w:val="22"/>
          <w:szCs w:val="22"/>
        </w:rPr>
      </w:pPr>
    </w:p>
    <w:p w:rsidR="00DD2EE0" w:rsidRDefault="00DD2EE0" w:rsidP="00DD2EE0">
      <w:pPr>
        <w:pStyle w:val="BodyText"/>
        <w:numPr>
          <w:ilvl w:val="0"/>
          <w:numId w:val="18"/>
        </w:numPr>
        <w:spacing w:before="0"/>
        <w:ind w:left="850" w:hanging="357"/>
        <w:rPr>
          <w:rFonts w:cs="Arial"/>
          <w:sz w:val="22"/>
          <w:szCs w:val="22"/>
        </w:rPr>
      </w:pPr>
      <w:r w:rsidRPr="00D667A4">
        <w:rPr>
          <w:rFonts w:cs="Arial"/>
          <w:sz w:val="22"/>
          <w:szCs w:val="22"/>
        </w:rPr>
        <w:t>electricity — supply, capacity and line charges;</w:t>
      </w:r>
    </w:p>
    <w:p w:rsidR="00DD2EE0" w:rsidRPr="00D667A4" w:rsidRDefault="00DD2EE0" w:rsidP="00DD2EE0">
      <w:pPr>
        <w:pStyle w:val="BodyText"/>
        <w:numPr>
          <w:ilvl w:val="0"/>
          <w:numId w:val="18"/>
        </w:numPr>
        <w:spacing w:before="0"/>
        <w:ind w:left="850" w:hanging="357"/>
        <w:rPr>
          <w:rFonts w:cs="Arial"/>
          <w:sz w:val="22"/>
          <w:szCs w:val="22"/>
        </w:rPr>
      </w:pPr>
      <w:r w:rsidRPr="00D667A4">
        <w:rPr>
          <w:rFonts w:cs="Arial"/>
          <w:sz w:val="22"/>
          <w:szCs w:val="22"/>
        </w:rPr>
        <w:t>gas, reticulated and portable, including delivery and canister hire; </w:t>
      </w:r>
    </w:p>
    <w:p w:rsidR="00DD2EE0" w:rsidRPr="00D667A4" w:rsidRDefault="00DD2EE0" w:rsidP="00DD2EE0">
      <w:pPr>
        <w:pStyle w:val="BodyText"/>
        <w:numPr>
          <w:ilvl w:val="0"/>
          <w:numId w:val="18"/>
        </w:numPr>
        <w:spacing w:before="0"/>
        <w:ind w:left="850" w:hanging="357"/>
        <w:rPr>
          <w:rFonts w:cs="Arial"/>
          <w:sz w:val="22"/>
          <w:szCs w:val="22"/>
        </w:rPr>
      </w:pPr>
      <w:r w:rsidRPr="00D667A4">
        <w:rPr>
          <w:rFonts w:cs="Arial"/>
          <w:sz w:val="22"/>
          <w:szCs w:val="22"/>
        </w:rPr>
        <w:t>coal and wood, including delivery costs; and</w:t>
      </w:r>
    </w:p>
    <w:p w:rsidR="00DD2EE0" w:rsidRPr="00D667A4" w:rsidRDefault="00DD2EE0" w:rsidP="00DD2EE0">
      <w:pPr>
        <w:pStyle w:val="BodyText"/>
        <w:numPr>
          <w:ilvl w:val="0"/>
          <w:numId w:val="18"/>
        </w:numPr>
        <w:spacing w:before="0" w:after="0"/>
        <w:ind w:left="850" w:hanging="357"/>
        <w:rPr>
          <w:rFonts w:cs="Arial"/>
          <w:sz w:val="22"/>
          <w:szCs w:val="22"/>
        </w:rPr>
      </w:pPr>
      <w:proofErr w:type="gramStart"/>
      <w:r w:rsidRPr="00D667A4">
        <w:rPr>
          <w:rFonts w:cs="Arial"/>
          <w:sz w:val="22"/>
          <w:szCs w:val="22"/>
        </w:rPr>
        <w:t>water</w:t>
      </w:r>
      <w:proofErr w:type="gramEnd"/>
      <w:r w:rsidRPr="00D667A4">
        <w:rPr>
          <w:rFonts w:cs="Arial"/>
          <w:sz w:val="22"/>
          <w:szCs w:val="22"/>
        </w:rPr>
        <w:t xml:space="preserve"> supply rates.</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In the past, schools were funded for actual heat, light and water use. In 2010, funding levels were fixed in order to incentivise schools to reduce heat, light and water consumption to create savings that can be realised and applied by the school to other purposes. Funding levels have since been increased by small increments as negotiated through the annual Budget process.</w:t>
      </w:r>
    </w:p>
    <w:p w:rsidR="00DD2EE0" w:rsidRDefault="00DD2EE0" w:rsidP="00DD2EE0">
      <w:pPr>
        <w:pStyle w:val="TRNormal"/>
        <w:ind w:left="0" w:firstLine="0"/>
        <w:jc w:val="both"/>
        <w:rPr>
          <w:rFonts w:cs="Arial"/>
          <w:szCs w:val="22"/>
        </w:rPr>
      </w:pPr>
    </w:p>
    <w:p w:rsidR="00DD2EE0" w:rsidRPr="00AA7B71" w:rsidRDefault="00DD2EE0" w:rsidP="00DD2EE0">
      <w:pPr>
        <w:pStyle w:val="TRNormal"/>
        <w:ind w:left="0" w:firstLine="0"/>
        <w:jc w:val="both"/>
        <w:rPr>
          <w:rFonts w:cs="Arial"/>
          <w:szCs w:val="22"/>
        </w:rPr>
      </w:pPr>
      <w:r>
        <w:rPr>
          <w:rFonts w:cs="Arial"/>
          <w:szCs w:val="22"/>
        </w:rPr>
        <w:t>Analysis of audited annual accounts provides data up to the end of 2014. This suggests that approximately one third of schools are spending less than their Heat, Light and Water funding allocation, and two thirds of schools are spending more. We are unable to comment on the appropriateness of this split as we are currently investigating issues with what is included in heat, light and water in schools’ audited accounts, and don’t know the level of out-of-</w:t>
      </w:r>
      <w:r w:rsidRPr="00AA7B71">
        <w:rPr>
          <w:rFonts w:cs="Arial"/>
          <w:szCs w:val="22"/>
        </w:rPr>
        <w:t xml:space="preserve">hours / third party use going on in schools that are spending more than their allocation. </w:t>
      </w:r>
    </w:p>
    <w:p w:rsidR="00DD2EE0" w:rsidRDefault="00DD2EE0" w:rsidP="00DD2EE0">
      <w:pPr>
        <w:pStyle w:val="TRNormal"/>
        <w:ind w:left="0" w:firstLine="0"/>
        <w:jc w:val="both"/>
        <w:rPr>
          <w:rFonts w:cs="Arial"/>
          <w:szCs w:val="22"/>
        </w:rPr>
      </w:pPr>
    </w:p>
    <w:p w:rsidR="00DD2EE0" w:rsidRPr="00D667A4" w:rsidRDefault="00DD2EE0" w:rsidP="00DD2EE0">
      <w:pPr>
        <w:pStyle w:val="TRNormal"/>
        <w:rPr>
          <w:rFonts w:cs="Arial"/>
          <w:b/>
          <w:szCs w:val="22"/>
        </w:rPr>
      </w:pPr>
      <w:r w:rsidRPr="00D667A4">
        <w:rPr>
          <w:rFonts w:cs="Arial"/>
          <w:b/>
          <w:szCs w:val="22"/>
        </w:rPr>
        <w:t xml:space="preserve">Options for the funding and management of utilities: </w:t>
      </w:r>
    </w:p>
    <w:p w:rsidR="00DD2EE0" w:rsidRDefault="00DD2EE0" w:rsidP="00DD2EE0">
      <w:pPr>
        <w:pStyle w:val="TRNormal"/>
        <w:jc w:val="both"/>
        <w:rPr>
          <w:rFonts w:cs="Arial"/>
          <w:szCs w:val="22"/>
        </w:rPr>
      </w:pPr>
    </w:p>
    <w:p w:rsidR="00DD2EE0" w:rsidRDefault="00DD2EE0" w:rsidP="00DD2EE0">
      <w:pPr>
        <w:pStyle w:val="TRNormal"/>
        <w:ind w:left="0" w:firstLine="0"/>
        <w:jc w:val="both"/>
        <w:rPr>
          <w:rFonts w:cs="Arial"/>
          <w:szCs w:val="22"/>
        </w:rPr>
      </w:pPr>
      <w:r>
        <w:rPr>
          <w:rFonts w:cs="Arial"/>
          <w:szCs w:val="22"/>
        </w:rPr>
        <w:t>We have explored three options for how the funding system might support property maintenance:</w:t>
      </w:r>
    </w:p>
    <w:p w:rsidR="00DD2EE0" w:rsidRDefault="00DD2EE0" w:rsidP="00DD2EE0">
      <w:pPr>
        <w:pStyle w:val="TRNormal"/>
        <w:ind w:left="0" w:firstLine="0"/>
        <w:jc w:val="both"/>
        <w:rPr>
          <w:rFonts w:cs="Arial"/>
          <w:szCs w:val="22"/>
        </w:rPr>
      </w:pPr>
    </w:p>
    <w:p w:rsidR="00DD2EE0" w:rsidRPr="003A2ABA" w:rsidRDefault="00DD2EE0" w:rsidP="00DD2EE0">
      <w:pPr>
        <w:pStyle w:val="TRNormal"/>
        <w:numPr>
          <w:ilvl w:val="0"/>
          <w:numId w:val="42"/>
        </w:numPr>
        <w:jc w:val="both"/>
        <w:rPr>
          <w:rFonts w:cs="Arial"/>
          <w:szCs w:val="22"/>
        </w:rPr>
      </w:pPr>
      <w:r w:rsidRPr="000406ED">
        <w:rPr>
          <w:rFonts w:cs="Arial"/>
          <w:b/>
          <w:szCs w:val="22"/>
        </w:rPr>
        <w:t>Retaining the status quo</w:t>
      </w:r>
      <w:r>
        <w:rPr>
          <w:rFonts w:cs="Arial"/>
          <w:szCs w:val="22"/>
        </w:rPr>
        <w:t xml:space="preserve"> </w:t>
      </w:r>
      <w:r w:rsidRPr="007460C2">
        <w:rPr>
          <w:rFonts w:cs="Arial"/>
          <w:szCs w:val="22"/>
        </w:rPr>
        <w:t xml:space="preserve">- </w:t>
      </w:r>
      <w:r>
        <w:rPr>
          <w:rFonts w:cs="Arial"/>
          <w:szCs w:val="22"/>
        </w:rPr>
        <w:t>c</w:t>
      </w:r>
      <w:r w:rsidRPr="00E56386">
        <w:rPr>
          <w:rFonts w:cs="Arial"/>
        </w:rPr>
        <w:t>urrent funding arrangements remain and the Ministry continues to encourage schools to use all of government c</w:t>
      </w:r>
      <w:r>
        <w:rPr>
          <w:rFonts w:cs="Arial"/>
        </w:rPr>
        <w:t>ontracts and consider the whole-of-</w:t>
      </w:r>
      <w:r w:rsidRPr="00E56386">
        <w:rPr>
          <w:rFonts w:cs="Arial"/>
        </w:rPr>
        <w:t>life costs of energy systems (boilers, heat-pumps, etc) used in schools.</w:t>
      </w:r>
    </w:p>
    <w:p w:rsidR="00DD2EE0" w:rsidRPr="007460C2" w:rsidRDefault="00DD2EE0" w:rsidP="00DD2EE0">
      <w:pPr>
        <w:pStyle w:val="TRNormal"/>
        <w:ind w:left="720" w:firstLine="0"/>
        <w:jc w:val="both"/>
        <w:rPr>
          <w:rFonts w:cs="Arial"/>
          <w:szCs w:val="22"/>
        </w:rPr>
      </w:pPr>
    </w:p>
    <w:p w:rsidR="00DD2EE0" w:rsidRDefault="00DD2EE0" w:rsidP="00DD2EE0">
      <w:pPr>
        <w:pStyle w:val="TRNormal"/>
        <w:numPr>
          <w:ilvl w:val="0"/>
          <w:numId w:val="42"/>
        </w:numPr>
        <w:jc w:val="both"/>
        <w:rPr>
          <w:rFonts w:eastAsiaTheme="majorEastAsia" w:cs="Arial"/>
          <w:bCs/>
          <w:szCs w:val="22"/>
        </w:rPr>
      </w:pPr>
      <w:r w:rsidRPr="00E56386">
        <w:rPr>
          <w:rFonts w:eastAsiaTheme="majorEastAsia" w:cs="Arial"/>
          <w:b/>
          <w:bCs/>
          <w:szCs w:val="22"/>
        </w:rPr>
        <w:t>Developing a new formula</w:t>
      </w:r>
      <w:r w:rsidRPr="00E56386">
        <w:rPr>
          <w:rFonts w:eastAsiaTheme="majorEastAsia" w:cs="Arial"/>
          <w:bCs/>
          <w:szCs w:val="22"/>
        </w:rPr>
        <w:t xml:space="preserve"> to better allocate the existing c. $80 million based on factors that drive utilities cost (eg asset characteristics, roll size</w:t>
      </w:r>
      <w:r>
        <w:rPr>
          <w:rFonts w:eastAsiaTheme="majorEastAsia" w:cs="Arial"/>
          <w:bCs/>
          <w:szCs w:val="22"/>
        </w:rPr>
        <w:t xml:space="preserve">), </w:t>
      </w:r>
      <w:r w:rsidRPr="00E56386">
        <w:rPr>
          <w:rFonts w:eastAsiaTheme="majorEastAsia" w:cs="Arial"/>
          <w:bCs/>
          <w:szCs w:val="22"/>
        </w:rPr>
        <w:t xml:space="preserve">but the funding </w:t>
      </w:r>
      <w:r>
        <w:rPr>
          <w:rFonts w:eastAsiaTheme="majorEastAsia" w:cs="Arial"/>
          <w:bCs/>
          <w:szCs w:val="22"/>
        </w:rPr>
        <w:t>remains part of the operational grant and is not ring-fenced.</w:t>
      </w:r>
    </w:p>
    <w:p w:rsidR="00DD2EE0" w:rsidRPr="00E56386" w:rsidRDefault="00DD2EE0" w:rsidP="00DD2EE0">
      <w:pPr>
        <w:pStyle w:val="TRNormal"/>
        <w:ind w:left="0" w:firstLine="0"/>
        <w:jc w:val="both"/>
        <w:rPr>
          <w:rFonts w:eastAsiaTheme="majorEastAsia" w:cs="Arial"/>
          <w:bCs/>
          <w:szCs w:val="22"/>
        </w:rPr>
      </w:pPr>
    </w:p>
    <w:p w:rsidR="00DD2EE0" w:rsidRPr="00E56386" w:rsidRDefault="00DD2EE0" w:rsidP="00DD2EE0">
      <w:pPr>
        <w:pStyle w:val="TRNormal"/>
        <w:numPr>
          <w:ilvl w:val="0"/>
          <w:numId w:val="42"/>
        </w:numPr>
        <w:jc w:val="both"/>
        <w:rPr>
          <w:rFonts w:cs="Arial"/>
          <w:szCs w:val="22"/>
        </w:rPr>
      </w:pPr>
      <w:r w:rsidRPr="000406ED">
        <w:rPr>
          <w:rFonts w:eastAsiaTheme="majorEastAsia" w:cs="Arial"/>
          <w:b/>
          <w:bCs/>
          <w:szCs w:val="22"/>
        </w:rPr>
        <w:t xml:space="preserve">‘Ring-fence’ </w:t>
      </w:r>
      <w:r>
        <w:rPr>
          <w:rFonts w:eastAsiaTheme="majorEastAsia" w:cs="Arial"/>
          <w:b/>
          <w:bCs/>
          <w:szCs w:val="22"/>
        </w:rPr>
        <w:t xml:space="preserve">Heat, Light and Water funding </w:t>
      </w:r>
      <w:r w:rsidRPr="00E56386">
        <w:rPr>
          <w:rFonts w:eastAsiaTheme="majorEastAsia" w:cs="Arial"/>
          <w:bCs/>
          <w:szCs w:val="22"/>
        </w:rPr>
        <w:t xml:space="preserve">so that it must be spent on utilities costs. Provide existing allocation to schools. Those that overspend will be topped up. Those that </w:t>
      </w:r>
      <w:proofErr w:type="spellStart"/>
      <w:r w:rsidRPr="00E56386">
        <w:rPr>
          <w:rFonts w:eastAsiaTheme="majorEastAsia" w:cs="Arial"/>
          <w:bCs/>
          <w:szCs w:val="22"/>
        </w:rPr>
        <w:t>underspend</w:t>
      </w:r>
      <w:proofErr w:type="spellEnd"/>
      <w:r w:rsidRPr="00E56386">
        <w:rPr>
          <w:rFonts w:eastAsiaTheme="majorEastAsia" w:cs="Arial"/>
          <w:bCs/>
          <w:szCs w:val="22"/>
        </w:rPr>
        <w:t xml:space="preserve"> will get to keep a share (eg 50%) of </w:t>
      </w:r>
      <w:proofErr w:type="gramStart"/>
      <w:r w:rsidRPr="00E56386">
        <w:rPr>
          <w:rFonts w:eastAsiaTheme="majorEastAsia" w:cs="Arial"/>
          <w:bCs/>
          <w:szCs w:val="22"/>
        </w:rPr>
        <w:t xml:space="preserve">the </w:t>
      </w:r>
      <w:proofErr w:type="spellStart"/>
      <w:r w:rsidRPr="00E56386">
        <w:rPr>
          <w:rFonts w:eastAsiaTheme="majorEastAsia" w:cs="Arial"/>
          <w:bCs/>
          <w:szCs w:val="22"/>
        </w:rPr>
        <w:t>underspend</w:t>
      </w:r>
      <w:proofErr w:type="spellEnd"/>
      <w:proofErr w:type="gramEnd"/>
      <w:r w:rsidRPr="00E56386">
        <w:rPr>
          <w:rFonts w:eastAsiaTheme="majorEastAsia" w:cs="Arial"/>
          <w:bCs/>
          <w:szCs w:val="22"/>
        </w:rPr>
        <w:t xml:space="preserve"> for allocation to different activities, with the remainder returned to the Ministry for reallocation (covering overspends and investing in efficiency measures). </w:t>
      </w:r>
    </w:p>
    <w:p w:rsidR="00DD2EE0" w:rsidRDefault="00DD2EE0" w:rsidP="00DD2EE0">
      <w:pPr>
        <w:pStyle w:val="TRNormal"/>
        <w:jc w:val="both"/>
        <w:rPr>
          <w:rFonts w:cs="Arial"/>
          <w:szCs w:val="22"/>
        </w:rPr>
      </w:pPr>
    </w:p>
    <w:tbl>
      <w:tblPr>
        <w:tblStyle w:val="TableGrid"/>
        <w:tblW w:w="9889" w:type="dxa"/>
        <w:tblLook w:val="04A0"/>
      </w:tblPr>
      <w:tblGrid>
        <w:gridCol w:w="1384"/>
        <w:gridCol w:w="3260"/>
        <w:gridCol w:w="5245"/>
      </w:tblGrid>
      <w:tr w:rsidR="00DD2EE0" w:rsidRPr="00EA65EF" w:rsidTr="00AC2F26">
        <w:trPr>
          <w:cnfStyle w:val="100000000000"/>
          <w:cantSplit w:val="off"/>
          <w:trHeight w:val="351"/>
        </w:trPr>
        <w:tc>
          <w:tcPr>
            <w:cnfStyle w:val="001000000000"/>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7460C2" w:rsidRDefault="00DD2EE0" w:rsidP="007A3796">
            <w:pPr>
              <w:pStyle w:val="MoEQuoteBold"/>
              <w:tabs>
                <w:tab w:val="left" w:pos="0"/>
              </w:tabs>
              <w:spacing w:before="0" w:after="0"/>
              <w:ind w:left="0"/>
              <w:rPr>
                <w:rFonts w:ascii="Arial" w:eastAsiaTheme="majorEastAsia" w:hAnsi="Arial" w:cs="Arial"/>
                <w:bCs/>
                <w:color w:val="auto"/>
                <w:sz w:val="22"/>
                <w:szCs w:val="22"/>
              </w:rPr>
            </w:pPr>
            <w:r w:rsidRPr="007460C2">
              <w:rPr>
                <w:rFonts w:ascii="Arial" w:eastAsiaTheme="majorEastAsia" w:hAnsi="Arial" w:cs="Arial"/>
                <w:bCs/>
                <w:color w:val="auto"/>
                <w:sz w:val="22"/>
                <w:szCs w:val="22"/>
              </w:rPr>
              <w:t>Option</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EA65EF" w:rsidRDefault="00DD2EE0" w:rsidP="007A3796">
            <w:pPr>
              <w:pStyle w:val="MoEQuoteBold"/>
              <w:spacing w:before="0" w:after="0"/>
              <w:ind w:left="0"/>
              <w:cnfStyle w:val="100000000000"/>
              <w:rPr>
                <w:rFonts w:ascii="Arial" w:eastAsiaTheme="majorEastAsia" w:hAnsi="Arial" w:cs="Arial"/>
                <w:bCs/>
                <w:i/>
                <w:color w:val="auto"/>
                <w:sz w:val="22"/>
                <w:szCs w:val="22"/>
              </w:rPr>
            </w:pPr>
            <w:r w:rsidRPr="00EA65EF">
              <w:rPr>
                <w:rFonts w:ascii="Arial" w:eastAsiaTheme="majorEastAsia" w:hAnsi="Arial" w:cs="Arial"/>
                <w:bCs/>
                <w:i/>
                <w:color w:val="auto"/>
                <w:sz w:val="22"/>
                <w:szCs w:val="22"/>
              </w:rPr>
              <w:t xml:space="preserve">Advantages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EA65EF" w:rsidRDefault="00DD2EE0" w:rsidP="007A3796">
            <w:pPr>
              <w:pStyle w:val="MoEQuoteBold"/>
              <w:spacing w:before="0" w:after="0"/>
              <w:ind w:left="0"/>
              <w:cnfStyle w:val="100000000000"/>
              <w:rPr>
                <w:rFonts w:ascii="Arial" w:eastAsiaTheme="majorEastAsia" w:hAnsi="Arial" w:cs="Arial"/>
                <w:bCs/>
                <w:i/>
                <w:color w:val="auto"/>
                <w:sz w:val="22"/>
                <w:szCs w:val="22"/>
              </w:rPr>
            </w:pPr>
            <w:r w:rsidRPr="00EA65EF">
              <w:rPr>
                <w:rFonts w:ascii="Arial" w:eastAsiaTheme="majorEastAsia" w:hAnsi="Arial" w:cs="Arial"/>
                <w:bCs/>
                <w:i/>
                <w:color w:val="auto"/>
                <w:sz w:val="22"/>
                <w:szCs w:val="22"/>
              </w:rPr>
              <w:t>Disadvantages</w:t>
            </w:r>
          </w:p>
        </w:tc>
      </w:tr>
      <w:tr w:rsidR="00DD2EE0" w:rsidRPr="00986FF4" w:rsidTr="00AC2F26">
        <w:trPr>
          <w:cnfStyle w:val="000000100000"/>
          <w:cantSplit w:val="off"/>
          <w:trHeight w:val="850"/>
        </w:trPr>
        <w:tc>
          <w:tcPr>
            <w:cnfStyle w:val="001000000000"/>
            <w:tcW w:w="1384" w:type="dxa"/>
            <w:tcBorders>
              <w:top w:val="single" w:sz="4" w:space="0" w:color="auto"/>
              <w:left w:val="single" w:sz="4" w:space="0" w:color="auto"/>
              <w:bottom w:val="single" w:sz="4" w:space="0" w:color="auto"/>
              <w:right w:val="single" w:sz="4" w:space="0" w:color="auto"/>
            </w:tcBorders>
          </w:tcPr>
          <w:p w:rsidR="00DD2EE0" w:rsidRDefault="00DD2EE0" w:rsidP="00DD2EE0">
            <w:pPr>
              <w:pStyle w:val="MoEQuoteBold"/>
              <w:numPr>
                <w:ilvl w:val="0"/>
                <w:numId w:val="43"/>
              </w:numPr>
              <w:spacing w:before="0" w:after="0"/>
              <w:ind w:left="426"/>
              <w:rPr>
                <w:rFonts w:ascii="Arial" w:eastAsiaTheme="majorEastAsia" w:hAnsi="Arial" w:cs="Arial"/>
                <w:bCs/>
                <w:color w:val="auto"/>
                <w:sz w:val="22"/>
                <w:szCs w:val="22"/>
              </w:rPr>
            </w:pPr>
          </w:p>
          <w:p w:rsidR="00DD2EE0" w:rsidRPr="007460C2" w:rsidRDefault="00DD2EE0" w:rsidP="007A3796">
            <w:pPr>
              <w:pStyle w:val="MoEQuoteBold"/>
              <w:spacing w:before="0" w:after="0"/>
              <w:ind w:left="66"/>
              <w:rPr>
                <w:rFonts w:ascii="Arial" w:eastAsiaTheme="majorEastAsia" w:hAnsi="Arial" w:cs="Arial"/>
                <w:bCs/>
                <w:color w:val="auto"/>
                <w:sz w:val="22"/>
                <w:szCs w:val="22"/>
              </w:rPr>
            </w:pPr>
            <w:r w:rsidRPr="007460C2">
              <w:rPr>
                <w:rFonts w:ascii="Arial" w:eastAsiaTheme="majorEastAsia" w:hAnsi="Arial" w:cs="Arial"/>
                <w:bCs/>
                <w:color w:val="auto"/>
                <w:sz w:val="22"/>
                <w:szCs w:val="22"/>
              </w:rPr>
              <w:t>Status quo</w:t>
            </w:r>
          </w:p>
        </w:tc>
        <w:tc>
          <w:tcPr>
            <w:tcW w:w="3260" w:type="dxa"/>
            <w:tcBorders>
              <w:top w:val="single" w:sz="4" w:space="0" w:color="auto"/>
              <w:left w:val="single" w:sz="4" w:space="0" w:color="auto"/>
              <w:bottom w:val="single" w:sz="4" w:space="0" w:color="auto"/>
              <w:right w:val="single" w:sz="4" w:space="0" w:color="auto"/>
            </w:tcBorders>
          </w:tcPr>
          <w:p w:rsidR="00DD2EE0"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Administ</w:t>
            </w:r>
            <w:r w:rsidR="00175D2C">
              <w:rPr>
                <w:rFonts w:ascii="Arial" w:eastAsiaTheme="majorEastAsia" w:hAnsi="Arial" w:cs="Arial"/>
                <w:b w:val="0"/>
                <w:bCs/>
                <w:color w:val="auto"/>
                <w:sz w:val="22"/>
                <w:szCs w:val="22"/>
              </w:rPr>
              <w:t>ratively simple</w:t>
            </w:r>
          </w:p>
          <w:p w:rsidR="00DD2EE0" w:rsidRPr="00CE43CC"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Schools are incentivised to reduce expenditure on utilities to free up funding for other activities</w:t>
            </w:r>
          </w:p>
        </w:tc>
        <w:tc>
          <w:tcPr>
            <w:tcW w:w="5245" w:type="dxa"/>
            <w:tcBorders>
              <w:top w:val="single" w:sz="4" w:space="0" w:color="auto"/>
              <w:left w:val="single" w:sz="4" w:space="0" w:color="auto"/>
              <w:bottom w:val="single" w:sz="4" w:space="0" w:color="auto"/>
              <w:right w:val="single" w:sz="4" w:space="0" w:color="auto"/>
            </w:tcBorders>
          </w:tcPr>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Approximately two-thirds of schools are currently cross-subsidising the payment of utilities from other activities, demonstrating:</w:t>
            </w:r>
          </w:p>
          <w:p w:rsidR="00DD2EE0" w:rsidRPr="00CE43CC"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CE43CC" w:rsidRDefault="00DD2EE0" w:rsidP="007A3796">
            <w:pPr>
              <w:pStyle w:val="MoEQuoteBold"/>
              <w:numPr>
                <w:ilvl w:val="1"/>
                <w:numId w:val="31"/>
              </w:numPr>
              <w:spacing w:before="0"/>
              <w:ind w:left="703" w:hanging="357"/>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some schools cannot afford capital investments to reduce utilities consumption (eg install LED lights, Building Management Systems, alternative energy sources)</w:t>
            </w:r>
          </w:p>
          <w:p w:rsidR="00DD2EE0" w:rsidRPr="00CE43CC" w:rsidRDefault="00DD2EE0" w:rsidP="007A3796">
            <w:pPr>
              <w:pStyle w:val="MoEQuoteBold"/>
              <w:numPr>
                <w:ilvl w:val="1"/>
                <w:numId w:val="31"/>
              </w:numPr>
              <w:spacing w:before="0"/>
              <w:ind w:left="703" w:hanging="357"/>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schools are generally price takes on the energy market; and/or</w:t>
            </w:r>
          </w:p>
          <w:p w:rsidR="00DD2EE0" w:rsidRPr="00CE43CC" w:rsidRDefault="00DD2EE0" w:rsidP="007A3796">
            <w:pPr>
              <w:pStyle w:val="MoEQuoteBold"/>
              <w:numPr>
                <w:ilvl w:val="1"/>
                <w:numId w:val="31"/>
              </w:numPr>
              <w:spacing w:before="0"/>
              <w:ind w:left="703" w:hanging="357"/>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current incentives aren’t strong enough for some schools to justify the management effort to reduce costs</w:t>
            </w: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No linkage between utilities funding and capital investment means the Ministry, and to an extent schools, are not incentivised to minimise whole of life costs</w:t>
            </w:r>
          </w:p>
          <w:p w:rsidR="00DD2EE0" w:rsidRPr="00CE43CC"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Ministry has limit information on usage or spend, which makes it hard to assess if a school is being underfunded / seek increase in total quantum from the Government</w:t>
            </w:r>
          </w:p>
          <w:p w:rsidR="00DD2EE0" w:rsidRPr="00CE43CC"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Ministry not resourced to work with other agencies and energy firms to garner existing support for sustainability measures and direct it to the areas of greatest gain for schools and the portfolio.</w:t>
            </w:r>
          </w:p>
        </w:tc>
      </w:tr>
      <w:tr w:rsidR="00DD2EE0" w:rsidRPr="00986FF4" w:rsidTr="00AC2F26">
        <w:trPr>
          <w:cnfStyle w:val="000000010000"/>
          <w:cantSplit w:val="off"/>
          <w:trHeight w:val="850"/>
        </w:trPr>
        <w:tc>
          <w:tcPr>
            <w:cnfStyle w:val="001000000000"/>
            <w:tcW w:w="1384"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Default="00DD2EE0" w:rsidP="00DD2EE0">
            <w:pPr>
              <w:pStyle w:val="MoEQuoteBold"/>
              <w:numPr>
                <w:ilvl w:val="0"/>
                <w:numId w:val="43"/>
              </w:numPr>
              <w:spacing w:before="0" w:after="0"/>
              <w:ind w:left="426"/>
              <w:rPr>
                <w:rFonts w:ascii="Arial" w:eastAsiaTheme="majorEastAsia" w:hAnsi="Arial" w:cs="Arial"/>
                <w:bCs/>
                <w:color w:val="auto"/>
                <w:sz w:val="22"/>
                <w:szCs w:val="22"/>
              </w:rPr>
            </w:pPr>
          </w:p>
          <w:p w:rsidR="00DD2EE0" w:rsidRPr="007460C2" w:rsidRDefault="00DD2EE0" w:rsidP="007A3796">
            <w:pPr>
              <w:pStyle w:val="MoEQuoteBold"/>
              <w:spacing w:before="0" w:after="0"/>
              <w:ind w:left="66"/>
              <w:rPr>
                <w:rFonts w:ascii="Arial" w:eastAsiaTheme="majorEastAsia" w:hAnsi="Arial" w:cs="Arial"/>
                <w:bCs/>
                <w:color w:val="auto"/>
                <w:sz w:val="22"/>
                <w:szCs w:val="22"/>
              </w:rPr>
            </w:pPr>
            <w:r>
              <w:rPr>
                <w:rFonts w:ascii="Arial" w:eastAsiaTheme="majorEastAsia" w:hAnsi="Arial" w:cs="Arial"/>
                <w:bCs/>
                <w:color w:val="auto"/>
                <w:sz w:val="22"/>
                <w:szCs w:val="22"/>
              </w:rPr>
              <w:t>New formula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CE43CC"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Administ</w:t>
            </w:r>
            <w:r w:rsidR="00175D2C">
              <w:rPr>
                <w:rFonts w:ascii="Arial" w:eastAsiaTheme="majorEastAsia" w:hAnsi="Arial" w:cs="Arial"/>
                <w:b w:val="0"/>
                <w:bCs/>
                <w:color w:val="auto"/>
                <w:sz w:val="22"/>
                <w:szCs w:val="22"/>
              </w:rPr>
              <w:t>ratively simple</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CE43CC"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 xml:space="preserve">May lead to funding and spend being more closely aligned, at least initially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DD2EE0" w:rsidRPr="00CE43CC"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Still focussed on funding flows rather than managing for outcomes - will not minimise whole-of-life or whole-of-system costs.</w:t>
            </w:r>
          </w:p>
          <w:p w:rsidR="00DD2EE0" w:rsidRPr="00CE43CC"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CE43CC"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Will create a new set of winners and losers, rather than create conditions for improvement at the portfolio level</w:t>
            </w:r>
          </w:p>
          <w:p w:rsidR="00DD2EE0" w:rsidRPr="00CE43CC"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CE43CC"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Likely to diverge from actual costs overtime, requiring another review/reset in the future</w:t>
            </w:r>
          </w:p>
          <w:p w:rsidR="00DD2EE0" w:rsidRPr="00CE43CC"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CE43CC"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No linkage between utilities funding and capital investment means the Ministry, and to an extent schools, are not incentivised to minimise whole-of-life costs</w:t>
            </w:r>
          </w:p>
          <w:p w:rsidR="00DD2EE0" w:rsidRPr="00CE43CC" w:rsidRDefault="00DD2EE0" w:rsidP="007A3796">
            <w:pPr>
              <w:pStyle w:val="MoEQuoteBold"/>
              <w:spacing w:before="0" w:after="0"/>
              <w:cnfStyle w:val="000000010000"/>
              <w:rPr>
                <w:rFonts w:ascii="Arial" w:eastAsiaTheme="majorEastAsia" w:hAnsi="Arial" w:cs="Arial"/>
                <w:b w:val="0"/>
                <w:bCs/>
                <w:i/>
                <w:color w:val="auto"/>
                <w:sz w:val="22"/>
                <w:szCs w:val="22"/>
              </w:rPr>
            </w:pPr>
          </w:p>
          <w:p w:rsidR="00DD2EE0" w:rsidRPr="00CE43CC" w:rsidRDefault="00DD2EE0" w:rsidP="007A3796">
            <w:pPr>
              <w:pStyle w:val="MoEQuoteBold"/>
              <w:numPr>
                <w:ilvl w:val="0"/>
                <w:numId w:val="31"/>
              </w:numPr>
              <w:spacing w:before="0" w:after="0"/>
              <w:ind w:left="284" w:hanging="284"/>
              <w:cnfStyle w:val="00000001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Without continuous data collection, the Ministry would have limited information on usage or spend, which makes it hard to assess if a school is being underfunded / seek increase in total quantum from Government</w:t>
            </w:r>
          </w:p>
          <w:p w:rsidR="00DD2EE0" w:rsidRDefault="00DD2EE0" w:rsidP="007A3796">
            <w:pPr>
              <w:pStyle w:val="MoEQuoteBold"/>
              <w:spacing w:before="0" w:after="0"/>
              <w:cnfStyle w:val="000000010000"/>
              <w:rPr>
                <w:rFonts w:ascii="Arial" w:eastAsiaTheme="majorEastAsia" w:hAnsi="Arial" w:cs="Arial"/>
                <w:b w:val="0"/>
                <w:bCs/>
                <w:color w:val="auto"/>
                <w:sz w:val="22"/>
                <w:szCs w:val="22"/>
              </w:rPr>
            </w:pPr>
          </w:p>
          <w:p w:rsidR="00DD2EE0" w:rsidRPr="00CE43CC" w:rsidRDefault="00DD2EE0" w:rsidP="007A3796">
            <w:pPr>
              <w:pStyle w:val="MoEQuoteBold"/>
              <w:numPr>
                <w:ilvl w:val="0"/>
                <w:numId w:val="31"/>
              </w:numPr>
              <w:spacing w:before="0" w:after="0"/>
              <w:ind w:left="284" w:hanging="284"/>
              <w:cnfStyle w:val="00000001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Ministry not resourced to work with other agencies and energy firms to garner existing support for sustainability measures and direct it to the areas of greatest gain for schools and the portfolio</w:t>
            </w:r>
          </w:p>
        </w:tc>
      </w:tr>
      <w:tr w:rsidR="00DD2EE0" w:rsidRPr="00986FF4" w:rsidTr="00AC2F26">
        <w:trPr>
          <w:cnfStyle w:val="000000100000"/>
          <w:cantSplit w:val="off"/>
          <w:trHeight w:val="850"/>
        </w:trPr>
        <w:tc>
          <w:tcPr>
            <w:cnfStyle w:val="001000000000"/>
            <w:tcW w:w="1384" w:type="dxa"/>
            <w:tcBorders>
              <w:top w:val="single" w:sz="4" w:space="0" w:color="auto"/>
              <w:left w:val="single" w:sz="4" w:space="0" w:color="auto"/>
              <w:bottom w:val="single" w:sz="4" w:space="0" w:color="auto"/>
              <w:right w:val="single" w:sz="4" w:space="0" w:color="auto"/>
            </w:tcBorders>
          </w:tcPr>
          <w:p w:rsidR="00DD2EE0" w:rsidRDefault="00DD2EE0" w:rsidP="00DD2EE0">
            <w:pPr>
              <w:pStyle w:val="MoEQuoteBold"/>
              <w:numPr>
                <w:ilvl w:val="0"/>
                <w:numId w:val="43"/>
              </w:numPr>
              <w:spacing w:before="0" w:after="0"/>
              <w:ind w:left="426"/>
              <w:rPr>
                <w:rFonts w:ascii="Arial" w:eastAsiaTheme="majorEastAsia" w:hAnsi="Arial" w:cs="Arial"/>
                <w:bCs/>
                <w:color w:val="auto"/>
                <w:sz w:val="22"/>
                <w:szCs w:val="22"/>
              </w:rPr>
            </w:pPr>
          </w:p>
          <w:p w:rsidR="00DD2EE0" w:rsidRDefault="00DD2EE0" w:rsidP="007A3796">
            <w:pPr>
              <w:pStyle w:val="MoEQuoteBold"/>
              <w:spacing w:before="0" w:after="0"/>
              <w:ind w:left="66"/>
              <w:rPr>
                <w:rFonts w:ascii="Arial" w:eastAsiaTheme="majorEastAsia" w:hAnsi="Arial" w:cs="Arial"/>
                <w:bCs/>
                <w:color w:val="auto"/>
                <w:sz w:val="22"/>
                <w:szCs w:val="22"/>
              </w:rPr>
            </w:pPr>
            <w:r>
              <w:rPr>
                <w:rFonts w:ascii="Arial" w:eastAsiaTheme="majorEastAsia" w:hAnsi="Arial" w:cs="Arial"/>
                <w:bCs/>
                <w:color w:val="auto"/>
                <w:sz w:val="22"/>
                <w:szCs w:val="22"/>
              </w:rPr>
              <w:t>Ring-fencing funding</w:t>
            </w:r>
          </w:p>
          <w:p w:rsidR="00DD2EE0" w:rsidRDefault="00DD2EE0" w:rsidP="007A3796">
            <w:pPr>
              <w:pStyle w:val="MoEQuoteBold"/>
              <w:spacing w:before="0" w:after="0"/>
              <w:ind w:left="426"/>
              <w:rPr>
                <w:rFonts w:ascii="Arial" w:eastAsiaTheme="majorEastAsia" w:hAnsi="Arial" w:cs="Arial"/>
                <w:bCs/>
                <w:color w:val="auto"/>
                <w:sz w:val="22"/>
                <w:szCs w:val="22"/>
              </w:rPr>
            </w:pPr>
          </w:p>
          <w:p w:rsidR="00DD2EE0" w:rsidRPr="00E60E1A" w:rsidRDefault="00DD2EE0" w:rsidP="007A3796">
            <w:pPr>
              <w:pStyle w:val="MoEQuoteBold"/>
              <w:spacing w:before="0" w:after="0"/>
              <w:ind w:left="0"/>
              <w:rPr>
                <w:rFonts w:ascii="Arial" w:eastAsiaTheme="majorEastAsia" w:hAnsi="Arial" w:cs="Arial"/>
                <w:b w:val="0"/>
                <w:bCs/>
                <w:color w:val="auto"/>
                <w:sz w:val="22"/>
                <w:szCs w:val="22"/>
              </w:rPr>
            </w:pPr>
            <w:r>
              <w:rPr>
                <w:rFonts w:ascii="Arial" w:eastAsiaTheme="majorEastAsia" w:hAnsi="Arial" w:cs="Arial"/>
                <w:b w:val="0"/>
                <w:bCs/>
                <w:color w:val="auto"/>
                <w:sz w:val="22"/>
                <w:szCs w:val="22"/>
              </w:rPr>
              <w:t>[preferred option]</w:t>
            </w:r>
          </w:p>
        </w:tc>
        <w:tc>
          <w:tcPr>
            <w:tcW w:w="3260" w:type="dxa"/>
            <w:tcBorders>
              <w:top w:val="single" w:sz="4" w:space="0" w:color="auto"/>
              <w:left w:val="single" w:sz="4" w:space="0" w:color="auto"/>
              <w:bottom w:val="single" w:sz="4" w:space="0" w:color="auto"/>
              <w:right w:val="single" w:sz="4" w:space="0" w:color="auto"/>
            </w:tcBorders>
          </w:tcPr>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Schools no longer asked to cross-subsidise utilities costs from funding for teaching and learning</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Funding freed up to reinvest in energy efficiency measures at schools, to drive further savings</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Ministry taking a more active role in the market and in sharing good practice reduces management burden for schools</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More transparency over how money is spent on utilities, so the Ministry can:</w:t>
            </w:r>
          </w:p>
          <w:p w:rsidR="00DD2EE0" w:rsidRDefault="00DD2EE0" w:rsidP="007A3796">
            <w:pPr>
              <w:pStyle w:val="MoEQuoteBold"/>
              <w:spacing w:before="0" w:after="0"/>
              <w:ind w:left="567"/>
              <w:cnfStyle w:val="000000100000"/>
              <w:rPr>
                <w:rFonts w:ascii="Arial" w:eastAsiaTheme="majorEastAsia" w:hAnsi="Arial" w:cs="Arial"/>
                <w:b w:val="0"/>
                <w:bCs/>
                <w:color w:val="auto"/>
                <w:sz w:val="22"/>
                <w:szCs w:val="22"/>
              </w:rPr>
            </w:pPr>
          </w:p>
          <w:p w:rsidR="00DD2EE0" w:rsidRPr="00CE43CC" w:rsidRDefault="00DD2EE0" w:rsidP="007A3796">
            <w:pPr>
              <w:pStyle w:val="MoEQuoteBold"/>
              <w:numPr>
                <w:ilvl w:val="1"/>
                <w:numId w:val="31"/>
              </w:numPr>
              <w:spacing w:before="0"/>
              <w:ind w:left="568"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 xml:space="preserve">determine if individual schools require more funding </w:t>
            </w:r>
          </w:p>
          <w:p w:rsidR="00DD2EE0" w:rsidRPr="00CE43CC" w:rsidRDefault="00DD2EE0" w:rsidP="007A3796">
            <w:pPr>
              <w:pStyle w:val="MoEQuoteBold"/>
              <w:numPr>
                <w:ilvl w:val="1"/>
                <w:numId w:val="31"/>
              </w:numPr>
              <w:spacing w:before="0"/>
              <w:ind w:left="568"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make a case to increase total quantum of funding</w:t>
            </w:r>
          </w:p>
          <w:p w:rsidR="00DD2EE0" w:rsidRPr="00CE43CC" w:rsidRDefault="00DD2EE0" w:rsidP="007A3796">
            <w:pPr>
              <w:pStyle w:val="MoEQuoteBold"/>
              <w:numPr>
                <w:ilvl w:val="1"/>
                <w:numId w:val="31"/>
              </w:numPr>
              <w:spacing w:before="0" w:after="0"/>
              <w:ind w:left="568"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determine best interventions to help struggling schools</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Enables capital and operational funding to be more closely aligned to incentivise whole-of-life decision making</w:t>
            </w:r>
          </w:p>
        </w:tc>
        <w:tc>
          <w:tcPr>
            <w:tcW w:w="5245" w:type="dxa"/>
            <w:tcBorders>
              <w:top w:val="single" w:sz="4" w:space="0" w:color="auto"/>
              <w:left w:val="single" w:sz="4" w:space="0" w:color="auto"/>
              <w:bottom w:val="single" w:sz="4" w:space="0" w:color="auto"/>
              <w:right w:val="single" w:sz="4" w:space="0" w:color="auto"/>
            </w:tcBorders>
          </w:tcPr>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 xml:space="preserve">Reduces flexibility of schools currently </w:t>
            </w:r>
            <w:proofErr w:type="spellStart"/>
            <w:r w:rsidRPr="00CE43CC">
              <w:rPr>
                <w:rFonts w:ascii="Arial" w:eastAsiaTheme="majorEastAsia" w:hAnsi="Arial" w:cs="Arial"/>
                <w:b w:val="0"/>
                <w:bCs/>
                <w:color w:val="auto"/>
                <w:sz w:val="22"/>
                <w:szCs w:val="22"/>
              </w:rPr>
              <w:t>underspending</w:t>
            </w:r>
            <w:proofErr w:type="spellEnd"/>
            <w:r w:rsidRPr="00CE43CC">
              <w:rPr>
                <w:rFonts w:ascii="Arial" w:eastAsiaTheme="majorEastAsia" w:hAnsi="Arial" w:cs="Arial"/>
                <w:b w:val="0"/>
                <w:bCs/>
                <w:color w:val="auto"/>
                <w:sz w:val="22"/>
                <w:szCs w:val="22"/>
              </w:rPr>
              <w:t xml:space="preserve"> (approx 1 in 3) to allocate Heat, Light and Water funding to other areas of need</w:t>
            </w:r>
          </w:p>
          <w:p w:rsidR="00DD2EE0" w:rsidRPr="00CE43CC"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Changed incentives at school-level could lead to cost escalation if not carefully calibrated and monitored</w:t>
            </w:r>
          </w:p>
          <w:p w:rsidR="00DD2EE0" w:rsidRPr="00CE43CC" w:rsidRDefault="00DD2EE0" w:rsidP="007A3796">
            <w:pPr>
              <w:pStyle w:val="MoEQuoteBold"/>
              <w:spacing w:before="0" w:after="0"/>
              <w:cnfStyle w:val="000000100000"/>
              <w:rPr>
                <w:rFonts w:ascii="Arial" w:eastAsiaTheme="majorEastAsia" w:hAnsi="Arial" w:cs="Arial"/>
                <w:b w:val="0"/>
                <w:bCs/>
                <w:i/>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i/>
                <w:color w:val="auto"/>
                <w:sz w:val="22"/>
                <w:szCs w:val="22"/>
              </w:rPr>
            </w:pPr>
            <w:r w:rsidRPr="00CE43CC">
              <w:rPr>
                <w:rFonts w:ascii="Arial" w:eastAsiaTheme="majorEastAsia" w:hAnsi="Arial" w:cs="Arial"/>
                <w:b w:val="0"/>
                <w:bCs/>
                <w:color w:val="auto"/>
                <w:sz w:val="22"/>
                <w:szCs w:val="22"/>
              </w:rPr>
              <w:t>Requires total Heat, Light and Water funding to be adequate to cover actual spend - risk of underfunding transferred to Ministry.</w:t>
            </w:r>
          </w:p>
          <w:p w:rsidR="00DD2EE0" w:rsidRDefault="00DD2EE0" w:rsidP="007A3796">
            <w:pPr>
              <w:pStyle w:val="MoEQuoteBold"/>
              <w:spacing w:before="0" w:after="0"/>
              <w:cnfStyle w:val="000000100000"/>
              <w:rPr>
                <w:rFonts w:ascii="Arial" w:eastAsiaTheme="majorEastAsia" w:hAnsi="Arial" w:cs="Arial"/>
                <w:b w:val="0"/>
                <w:bCs/>
                <w:color w:val="auto"/>
                <w:sz w:val="22"/>
                <w:szCs w:val="22"/>
              </w:rPr>
            </w:pPr>
          </w:p>
          <w:p w:rsidR="00DD2EE0" w:rsidRPr="00CE43CC" w:rsidRDefault="00DD2EE0" w:rsidP="007A3796">
            <w:pPr>
              <w:pStyle w:val="MoEQuoteBold"/>
              <w:numPr>
                <w:ilvl w:val="0"/>
                <w:numId w:val="31"/>
              </w:numPr>
              <w:spacing w:before="0" w:after="0"/>
              <w:ind w:left="284" w:hanging="284"/>
              <w:cnfStyle w:val="000000100000"/>
              <w:rPr>
                <w:rFonts w:ascii="Arial" w:eastAsiaTheme="majorEastAsia" w:hAnsi="Arial" w:cs="Arial"/>
                <w:b w:val="0"/>
                <w:bCs/>
                <w:color w:val="auto"/>
                <w:sz w:val="22"/>
                <w:szCs w:val="22"/>
              </w:rPr>
            </w:pPr>
            <w:r w:rsidRPr="00CE43CC">
              <w:rPr>
                <w:rFonts w:ascii="Arial" w:eastAsiaTheme="majorEastAsia" w:hAnsi="Arial" w:cs="Arial"/>
                <w:b w:val="0"/>
                <w:bCs/>
                <w:color w:val="auto"/>
                <w:sz w:val="22"/>
                <w:szCs w:val="22"/>
              </w:rPr>
              <w:t>Requires more resourcing for the Ministry – additional cost needs to be justified by reduced cost pressures at portfolio level and benefits to schools.</w:t>
            </w:r>
          </w:p>
        </w:tc>
      </w:tr>
    </w:tbl>
    <w:p w:rsidR="00DD2EE0" w:rsidRDefault="00DD2EE0" w:rsidP="00DD2EE0">
      <w:pPr>
        <w:rPr>
          <w:rFonts w:ascii="Arial" w:eastAsiaTheme="majorEastAsia" w:hAnsi="Arial" w:cstheme="majorBidi"/>
          <w:b/>
          <w:bCs/>
          <w:color w:val="3472AC"/>
          <w:sz w:val="20"/>
          <w:szCs w:val="22"/>
          <w:lang w:val="en-NZ"/>
        </w:rPr>
      </w:pPr>
    </w:p>
    <w:p w:rsidR="00DD2EE0" w:rsidRDefault="00DD2EE0" w:rsidP="00DD2EE0">
      <w:pPr>
        <w:pStyle w:val="TRNormal"/>
        <w:ind w:left="0" w:firstLine="0"/>
        <w:jc w:val="both"/>
        <w:rPr>
          <w:rFonts w:cs="Arial"/>
          <w:szCs w:val="22"/>
        </w:rPr>
      </w:pPr>
      <w:r>
        <w:rPr>
          <w:rFonts w:cs="Arial"/>
          <w:szCs w:val="22"/>
          <w:u w:val="single"/>
        </w:rPr>
        <w:t>Preliminary conclusion and issues for consideration</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At this point, based on the information to hand, the preferred option is separating funding for utilities from the operational grant. </w:t>
      </w:r>
    </w:p>
    <w:p w:rsidR="00DD2EE0" w:rsidRDefault="00DD2EE0" w:rsidP="00DD2EE0">
      <w:pPr>
        <w:pStyle w:val="TRNormal"/>
        <w:ind w:left="0" w:firstLine="0"/>
        <w:jc w:val="both"/>
        <w:rPr>
          <w:rFonts w:cs="Arial"/>
          <w:szCs w:val="22"/>
        </w:rPr>
      </w:pPr>
    </w:p>
    <w:p w:rsidR="00DD2EE0" w:rsidRPr="00E56386" w:rsidRDefault="00DD2EE0" w:rsidP="00DD2EE0">
      <w:pPr>
        <w:pStyle w:val="TRNormal"/>
        <w:ind w:left="0" w:firstLine="0"/>
        <w:jc w:val="both"/>
        <w:rPr>
          <w:rFonts w:cs="Arial"/>
          <w:szCs w:val="22"/>
        </w:rPr>
      </w:pPr>
      <w:r w:rsidRPr="00E56386">
        <w:rPr>
          <w:rFonts w:eastAsiaTheme="majorEastAsia" w:cs="Arial"/>
          <w:bCs/>
          <w:szCs w:val="22"/>
        </w:rPr>
        <w:t>The total quantum of funding would need to be sufficient to cover actual costs (we are working on getting the evidence base to quantify this). Ministry would need to be resourced to track usage and spend, provide support to schools that need it, help schools get onto All-of-Government supply contracts</w:t>
      </w:r>
      <w:r>
        <w:rPr>
          <w:rFonts w:eastAsiaTheme="majorEastAsia" w:cs="Arial"/>
          <w:bCs/>
          <w:szCs w:val="22"/>
        </w:rPr>
        <w:t xml:space="preserve"> or negotiate alternatives</w:t>
      </w:r>
      <w:r w:rsidRPr="00E56386">
        <w:rPr>
          <w:rFonts w:eastAsiaTheme="majorEastAsia" w:cs="Arial"/>
          <w:bCs/>
          <w:szCs w:val="22"/>
        </w:rPr>
        <w:t>, and make smart investment decisions to drive efficiency at the portfolio level. In time and with the necessary resources, it could be more proactive, including negotiating directly with local authorities on pan taxes and other water/sewerage levies proposed for introduction.</w:t>
      </w:r>
    </w:p>
    <w:p w:rsidR="00DD2EE0" w:rsidRDefault="00DD2EE0" w:rsidP="00DD2EE0">
      <w:pPr>
        <w:rPr>
          <w:rFonts w:ascii="Arial" w:eastAsiaTheme="majorEastAsia" w:hAnsi="Arial" w:cstheme="majorBidi"/>
          <w:b/>
          <w:bCs/>
          <w:color w:val="3472AC"/>
          <w:sz w:val="20"/>
          <w:szCs w:val="22"/>
          <w:lang w:val="en-NZ"/>
        </w:rPr>
      </w:pPr>
    </w:p>
    <w:p w:rsidR="00DD2EE0" w:rsidRDefault="00DD2EE0" w:rsidP="00DD2EE0">
      <w:pPr>
        <w:rPr>
          <w:rFonts w:ascii="Arial" w:eastAsiaTheme="majorEastAsia" w:hAnsi="Arial" w:cstheme="majorBidi"/>
          <w:b/>
          <w:bCs/>
          <w:color w:val="3472AC"/>
          <w:sz w:val="20"/>
          <w:szCs w:val="22"/>
          <w:lang w:val="en-NZ"/>
        </w:rPr>
      </w:pPr>
    </w:p>
    <w:p w:rsidR="00DD2EE0" w:rsidRPr="00CF13D0" w:rsidRDefault="00DD2EE0" w:rsidP="00DD2EE0">
      <w:pPr>
        <w:pBdr>
          <w:top w:val="single" w:sz="12" w:space="1" w:color="3472AC"/>
          <w:left w:val="single" w:sz="12" w:space="4" w:color="3472AC"/>
          <w:bottom w:val="single" w:sz="12" w:space="1" w:color="3472AC"/>
          <w:right w:val="single" w:sz="12" w:space="11" w:color="3472AC"/>
        </w:pBdr>
        <w:ind w:left="357" w:right="510"/>
        <w:rPr>
          <w:rFonts w:ascii="Arial" w:hAnsi="Arial" w:cs="Arial"/>
          <w:i/>
          <w:color w:val="3472AC"/>
          <w:sz w:val="6"/>
          <w:szCs w:val="6"/>
        </w:rPr>
      </w:pPr>
    </w:p>
    <w:p w:rsidR="00DD2EE0" w:rsidRDefault="00DD2EE0" w:rsidP="00DD2EE0">
      <w:pPr>
        <w:pBdr>
          <w:top w:val="single" w:sz="12" w:space="1" w:color="3472AC"/>
          <w:left w:val="single" w:sz="12" w:space="4" w:color="3472AC"/>
          <w:bottom w:val="single" w:sz="12" w:space="1" w:color="3472AC"/>
          <w:right w:val="single" w:sz="12" w:space="11" w:color="3472AC"/>
        </w:pBdr>
        <w:ind w:left="357" w:right="510"/>
        <w:jc w:val="both"/>
        <w:rPr>
          <w:rFonts w:ascii="Arial" w:hAnsi="Arial" w:cs="Arial"/>
          <w:i/>
          <w:color w:val="3472AC"/>
          <w:sz w:val="22"/>
        </w:rPr>
      </w:pPr>
      <w:r>
        <w:rPr>
          <w:rFonts w:ascii="Arial" w:hAnsi="Arial" w:cs="Arial"/>
          <w:i/>
          <w:color w:val="3472AC"/>
          <w:sz w:val="22"/>
        </w:rPr>
        <w:t>Question for discussion:</w:t>
      </w:r>
    </w:p>
    <w:p w:rsidR="00DD2EE0" w:rsidRDefault="00DD2EE0" w:rsidP="00DD2EE0">
      <w:pPr>
        <w:pBdr>
          <w:top w:val="single" w:sz="12" w:space="1" w:color="3472AC"/>
          <w:left w:val="single" w:sz="12" w:space="4" w:color="3472AC"/>
          <w:bottom w:val="single" w:sz="12" w:space="1" w:color="3472AC"/>
          <w:right w:val="single" w:sz="12" w:space="11" w:color="3472AC"/>
        </w:pBdr>
        <w:ind w:left="357" w:right="510"/>
        <w:jc w:val="both"/>
        <w:rPr>
          <w:rFonts w:ascii="Arial" w:hAnsi="Arial" w:cs="Arial"/>
          <w:i/>
          <w:color w:val="3472AC"/>
          <w:sz w:val="22"/>
        </w:rPr>
      </w:pPr>
    </w:p>
    <w:p w:rsidR="00DD2EE0" w:rsidRDefault="00DD2EE0" w:rsidP="00DD2EE0">
      <w:pPr>
        <w:pBdr>
          <w:top w:val="single" w:sz="12" w:space="1" w:color="3472AC"/>
          <w:left w:val="single" w:sz="12" w:space="4" w:color="3472AC"/>
          <w:bottom w:val="single" w:sz="12" w:space="1" w:color="3472AC"/>
          <w:right w:val="single" w:sz="12" w:space="11" w:color="3472AC"/>
        </w:pBdr>
        <w:ind w:left="357" w:right="510"/>
        <w:jc w:val="both"/>
        <w:rPr>
          <w:rFonts w:ascii="Arial" w:hAnsi="Arial" w:cs="Arial"/>
          <w:i/>
          <w:color w:val="3472AC"/>
          <w:sz w:val="22"/>
        </w:rPr>
      </w:pPr>
      <w:r>
        <w:rPr>
          <w:rFonts w:ascii="Arial" w:hAnsi="Arial" w:cs="Arial"/>
          <w:i/>
          <w:color w:val="3472AC"/>
          <w:sz w:val="22"/>
        </w:rPr>
        <w:t xml:space="preserve">How might out-of-hours use (eg hiring out the use of a school’s hall) be factored into funding allocations? </w:t>
      </w:r>
    </w:p>
    <w:p w:rsidR="00DD2EE0" w:rsidRPr="00CF13D0" w:rsidRDefault="00DD2EE0" w:rsidP="00DD2EE0">
      <w:pPr>
        <w:pBdr>
          <w:top w:val="single" w:sz="12" w:space="1" w:color="3472AC"/>
          <w:left w:val="single" w:sz="12" w:space="4" w:color="3472AC"/>
          <w:bottom w:val="single" w:sz="12" w:space="1" w:color="3472AC"/>
          <w:right w:val="single" w:sz="12" w:space="11" w:color="3472AC"/>
        </w:pBdr>
        <w:ind w:left="357" w:right="510"/>
        <w:rPr>
          <w:rFonts w:ascii="Arial" w:hAnsi="Arial" w:cs="Arial"/>
          <w:i/>
          <w:color w:val="3472AC"/>
          <w:sz w:val="6"/>
          <w:szCs w:val="6"/>
        </w:rPr>
      </w:pPr>
    </w:p>
    <w:p w:rsidR="00DD2EE0" w:rsidRDefault="00DD2EE0" w:rsidP="00DD2EE0">
      <w:pPr>
        <w:rPr>
          <w:rFonts w:ascii="Arial" w:eastAsiaTheme="majorEastAsia" w:hAnsi="Arial" w:cstheme="majorBidi"/>
          <w:b/>
          <w:bCs/>
          <w:color w:val="3472AC"/>
          <w:sz w:val="20"/>
          <w:szCs w:val="22"/>
          <w:lang w:val="en-NZ"/>
        </w:rPr>
      </w:pPr>
    </w:p>
    <w:p w:rsidR="00DD2EE0" w:rsidRDefault="00DD2EE0" w:rsidP="00DD2EE0">
      <w:pPr>
        <w:pStyle w:val="BlueSubheading3"/>
        <w:spacing w:before="0" w:after="0"/>
        <w:rPr>
          <w:sz w:val="24"/>
          <w:szCs w:val="24"/>
        </w:rPr>
      </w:pPr>
    </w:p>
    <w:p w:rsidR="00DD2EE0" w:rsidRPr="000A4FD1" w:rsidRDefault="00DD2EE0" w:rsidP="00DD2EE0">
      <w:pPr>
        <w:pStyle w:val="BlueSubheading3"/>
        <w:spacing w:before="0" w:after="0"/>
        <w:rPr>
          <w:sz w:val="24"/>
          <w:szCs w:val="24"/>
        </w:rPr>
      </w:pPr>
      <w:r w:rsidRPr="000A4FD1">
        <w:rPr>
          <w:sz w:val="24"/>
          <w:szCs w:val="24"/>
        </w:rPr>
        <w:t>Vandalism</w:t>
      </w:r>
    </w:p>
    <w:p w:rsidR="00DD2EE0" w:rsidRDefault="00DD2EE0" w:rsidP="00DD2EE0">
      <w:pPr>
        <w:pStyle w:val="TRNormal"/>
        <w:jc w:val="both"/>
        <w:rPr>
          <w:rFonts w:cs="Arial"/>
          <w:szCs w:val="22"/>
        </w:rPr>
      </w:pPr>
    </w:p>
    <w:p w:rsidR="00DD2EE0" w:rsidRDefault="00DD2EE0" w:rsidP="00DD2EE0">
      <w:pPr>
        <w:pStyle w:val="TRNormal"/>
        <w:ind w:left="0" w:firstLine="0"/>
        <w:jc w:val="both"/>
        <w:rPr>
          <w:rFonts w:cs="Arial"/>
          <w:szCs w:val="22"/>
        </w:rPr>
      </w:pPr>
      <w:r w:rsidRPr="00593D85">
        <w:rPr>
          <w:rFonts w:cs="Arial"/>
          <w:szCs w:val="22"/>
        </w:rPr>
        <w:t xml:space="preserve">In </w:t>
      </w:r>
      <w:r>
        <w:rPr>
          <w:rFonts w:cs="Arial"/>
          <w:szCs w:val="22"/>
        </w:rPr>
        <w:t xml:space="preserve">the </w:t>
      </w:r>
      <w:hyperlink r:id="rId10" w:history="1">
        <w:r w:rsidRPr="00F30381">
          <w:rPr>
            <w:rFonts w:cs="Arial"/>
            <w:szCs w:val="22"/>
          </w:rPr>
          <w:t>Property Occupancy Document</w:t>
        </w:r>
      </w:hyperlink>
      <w:r w:rsidRPr="00593D85">
        <w:rPr>
          <w:rFonts w:cs="Arial"/>
          <w:szCs w:val="22"/>
        </w:rPr>
        <w:t>, vandalism is defined as “wilful damage to or loss of any part of the school site, buildings or other facilities, excluding arson and normal wear and tear”.</w:t>
      </w:r>
    </w:p>
    <w:p w:rsidR="00DD2EE0" w:rsidRPr="00593D85"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sidRPr="00593D85">
        <w:rPr>
          <w:rFonts w:cs="Arial"/>
          <w:szCs w:val="22"/>
        </w:rPr>
        <w:t xml:space="preserve">Each year </w:t>
      </w:r>
      <w:r>
        <w:rPr>
          <w:rFonts w:cs="Arial"/>
          <w:szCs w:val="22"/>
        </w:rPr>
        <w:t>schools</w:t>
      </w:r>
      <w:r w:rsidRPr="00593D85">
        <w:rPr>
          <w:rFonts w:cs="Arial"/>
          <w:szCs w:val="22"/>
        </w:rPr>
        <w:t xml:space="preserve"> receive funding to manage vandalism</w:t>
      </w:r>
      <w:r>
        <w:rPr>
          <w:rFonts w:cs="Arial"/>
          <w:szCs w:val="22"/>
        </w:rPr>
        <w:t xml:space="preserve"> as part of their operational grant</w:t>
      </w:r>
      <w:r w:rsidRPr="00593D85">
        <w:rPr>
          <w:rFonts w:cs="Arial"/>
          <w:szCs w:val="22"/>
        </w:rPr>
        <w:t>.</w:t>
      </w:r>
      <w:r>
        <w:rPr>
          <w:rFonts w:cs="Arial"/>
          <w:szCs w:val="22"/>
        </w:rPr>
        <w:t xml:space="preserve"> This is a separate line item in a school’s grant notice.</w:t>
      </w:r>
      <w:r w:rsidRPr="00593D85">
        <w:rPr>
          <w:rFonts w:cs="Arial"/>
          <w:szCs w:val="22"/>
        </w:rPr>
        <w:t xml:space="preserve"> The amount depends on which vandalism risk category </w:t>
      </w:r>
      <w:r>
        <w:rPr>
          <w:rFonts w:cs="Arial"/>
          <w:szCs w:val="22"/>
        </w:rPr>
        <w:t xml:space="preserve">the </w:t>
      </w:r>
      <w:r w:rsidRPr="00593D85">
        <w:rPr>
          <w:rFonts w:cs="Arial"/>
          <w:szCs w:val="22"/>
        </w:rPr>
        <w:t xml:space="preserve">school is in. </w:t>
      </w:r>
      <w:r>
        <w:rPr>
          <w:rFonts w:cs="Arial"/>
          <w:szCs w:val="22"/>
        </w:rPr>
        <w:t>The</w:t>
      </w:r>
      <w:r w:rsidRPr="00593D85">
        <w:rPr>
          <w:rFonts w:cs="Arial"/>
          <w:szCs w:val="22"/>
        </w:rPr>
        <w:t xml:space="preserve"> risk category is based on the average vandalism costs for </w:t>
      </w:r>
      <w:r>
        <w:rPr>
          <w:rFonts w:cs="Arial"/>
          <w:szCs w:val="22"/>
        </w:rPr>
        <w:t>the</w:t>
      </w:r>
      <w:r w:rsidRPr="00593D85">
        <w:rPr>
          <w:rFonts w:cs="Arial"/>
          <w:szCs w:val="22"/>
        </w:rPr>
        <w:t xml:space="preserve"> school in the past.</w:t>
      </w:r>
      <w:r>
        <w:rPr>
          <w:rFonts w:cs="Arial"/>
          <w:szCs w:val="22"/>
        </w:rPr>
        <w:t xml:space="preserve"> If a school spends more than the upper limit of its risk category, it can apply to the Ministry for a Vandalism top-up.</w:t>
      </w:r>
    </w:p>
    <w:p w:rsidR="00DD2EE0" w:rsidRDefault="00DD2EE0" w:rsidP="00DD2EE0">
      <w:pPr>
        <w:pStyle w:val="TRNormal"/>
        <w:rPr>
          <w:rFonts w:cs="Arial"/>
          <w:szCs w:val="22"/>
        </w:rPr>
      </w:pPr>
    </w:p>
    <w:p w:rsidR="00DD2EE0" w:rsidRPr="00F30381" w:rsidRDefault="00DD2EE0" w:rsidP="00DD2EE0">
      <w:pPr>
        <w:pStyle w:val="TRNormal"/>
        <w:rPr>
          <w:rFonts w:cs="Arial"/>
          <w:b/>
          <w:szCs w:val="22"/>
        </w:rPr>
      </w:pPr>
      <w:r w:rsidRPr="00F30381">
        <w:rPr>
          <w:rFonts w:cs="Arial"/>
          <w:b/>
          <w:szCs w:val="22"/>
        </w:rPr>
        <w:t xml:space="preserve">Options for vandalism funding: </w:t>
      </w:r>
    </w:p>
    <w:p w:rsidR="00DD2EE0" w:rsidRDefault="00DD2EE0" w:rsidP="00DD2EE0">
      <w:pPr>
        <w:pStyle w:val="TRNormal"/>
        <w:ind w:left="0" w:firstLine="0"/>
        <w:rPr>
          <w:rFonts w:cs="Arial"/>
          <w:szCs w:val="22"/>
        </w:rPr>
      </w:pPr>
    </w:p>
    <w:p w:rsidR="00DD2EE0" w:rsidRDefault="00DD2EE0" w:rsidP="00DD2EE0">
      <w:pPr>
        <w:pStyle w:val="ListParagraph"/>
        <w:numPr>
          <w:ilvl w:val="0"/>
          <w:numId w:val="16"/>
        </w:numPr>
        <w:spacing w:line="252" w:lineRule="auto"/>
        <w:ind w:left="782" w:hanging="357"/>
        <w:contextualSpacing w:val="0"/>
        <w:jc w:val="both"/>
        <w:rPr>
          <w:rFonts w:ascii="Arial" w:hAnsi="Arial" w:cs="Arial"/>
          <w:sz w:val="22"/>
          <w:szCs w:val="22"/>
          <w:lang w:val="en-NZ"/>
        </w:rPr>
      </w:pPr>
      <w:r w:rsidRPr="00F824FC">
        <w:rPr>
          <w:rFonts w:ascii="Arial" w:hAnsi="Arial" w:cs="Arial"/>
          <w:sz w:val="22"/>
          <w:szCs w:val="22"/>
          <w:lang w:val="en-NZ"/>
        </w:rPr>
        <w:t>Status quo</w:t>
      </w:r>
      <w:r>
        <w:rPr>
          <w:rFonts w:ascii="Arial" w:hAnsi="Arial" w:cs="Arial"/>
          <w:sz w:val="22"/>
          <w:szCs w:val="22"/>
          <w:lang w:val="en-NZ"/>
        </w:rPr>
        <w:t>:</w:t>
      </w:r>
      <w:r w:rsidRPr="00F824FC">
        <w:rPr>
          <w:rFonts w:ascii="Arial" w:hAnsi="Arial" w:cs="Arial"/>
          <w:sz w:val="22"/>
          <w:szCs w:val="22"/>
          <w:lang w:val="en-NZ"/>
        </w:rPr>
        <w:t xml:space="preserve">  </w:t>
      </w:r>
    </w:p>
    <w:p w:rsidR="00DD2EE0" w:rsidRPr="00F824FC" w:rsidRDefault="00DD2EE0" w:rsidP="00DD2EE0">
      <w:pPr>
        <w:pStyle w:val="ListParagraph"/>
        <w:spacing w:after="180" w:line="252" w:lineRule="auto"/>
        <w:ind w:left="786"/>
        <w:contextualSpacing w:val="0"/>
        <w:jc w:val="both"/>
        <w:rPr>
          <w:rFonts w:ascii="Arial" w:hAnsi="Arial" w:cs="Arial"/>
          <w:sz w:val="22"/>
          <w:szCs w:val="22"/>
          <w:lang w:val="en-NZ"/>
        </w:rPr>
      </w:pPr>
      <w:r>
        <w:rPr>
          <w:rFonts w:ascii="Arial" w:hAnsi="Arial" w:cs="Arial"/>
          <w:sz w:val="22"/>
          <w:szCs w:val="22"/>
          <w:lang w:val="en-NZ"/>
        </w:rPr>
        <w:t>C</w:t>
      </w:r>
      <w:r w:rsidRPr="00F824FC">
        <w:rPr>
          <w:rFonts w:ascii="Arial" w:hAnsi="Arial" w:cs="Arial"/>
          <w:sz w:val="22"/>
          <w:szCs w:val="22"/>
          <w:lang w:val="en-NZ"/>
        </w:rPr>
        <w:t>ontinue to provide some funding for vandalism as part of the resourcing for teaching and learning, and have a top-up mechanism for schools with excessive vandalism expenses.</w:t>
      </w:r>
    </w:p>
    <w:p w:rsidR="00DD2EE0" w:rsidRPr="00F824FC" w:rsidRDefault="00DD2EE0" w:rsidP="00DD2EE0">
      <w:pPr>
        <w:pStyle w:val="ListParagraph"/>
        <w:numPr>
          <w:ilvl w:val="0"/>
          <w:numId w:val="16"/>
        </w:numPr>
        <w:spacing w:after="180" w:line="252" w:lineRule="auto"/>
        <w:contextualSpacing w:val="0"/>
        <w:rPr>
          <w:rFonts w:ascii="Arial" w:hAnsi="Arial" w:cs="Arial"/>
          <w:sz w:val="22"/>
          <w:szCs w:val="22"/>
          <w:lang w:val="en-NZ"/>
        </w:rPr>
      </w:pPr>
      <w:r w:rsidRPr="00F824FC">
        <w:rPr>
          <w:rFonts w:ascii="Arial" w:hAnsi="Arial" w:cs="Arial"/>
          <w:sz w:val="22"/>
          <w:szCs w:val="22"/>
          <w:lang w:val="en-NZ"/>
        </w:rPr>
        <w:t>Cashed up</w:t>
      </w:r>
      <w:r>
        <w:rPr>
          <w:rFonts w:ascii="Arial" w:hAnsi="Arial" w:cs="Arial"/>
          <w:sz w:val="22"/>
          <w:szCs w:val="22"/>
          <w:lang w:val="en-NZ"/>
        </w:rPr>
        <w:t xml:space="preserve">: </w:t>
      </w:r>
      <w:r w:rsidRPr="00F824FC">
        <w:rPr>
          <w:rFonts w:ascii="Arial" w:hAnsi="Arial" w:cs="Arial"/>
          <w:sz w:val="22"/>
          <w:szCs w:val="22"/>
          <w:lang w:val="en-NZ"/>
        </w:rPr>
        <w:t xml:space="preserve"> </w:t>
      </w:r>
      <w:r>
        <w:rPr>
          <w:rFonts w:ascii="Arial" w:hAnsi="Arial" w:cs="Arial"/>
          <w:sz w:val="22"/>
          <w:szCs w:val="22"/>
          <w:lang w:val="en-NZ"/>
        </w:rPr>
        <w:br/>
        <w:t>A</w:t>
      </w:r>
      <w:r w:rsidRPr="00F824FC">
        <w:rPr>
          <w:rFonts w:ascii="Arial" w:hAnsi="Arial" w:cs="Arial"/>
          <w:sz w:val="22"/>
          <w:szCs w:val="22"/>
          <w:lang w:val="en-NZ"/>
        </w:rPr>
        <w:t>ll vandalism funding is part of resourcing for teaching and learning</w:t>
      </w:r>
      <w:r>
        <w:rPr>
          <w:rFonts w:ascii="Arial" w:hAnsi="Arial" w:cs="Arial"/>
          <w:sz w:val="22"/>
          <w:szCs w:val="22"/>
          <w:lang w:val="en-NZ"/>
        </w:rPr>
        <w:t xml:space="preserve"> (per pupil funding)</w:t>
      </w:r>
      <w:r w:rsidRPr="00F824FC">
        <w:rPr>
          <w:rFonts w:ascii="Arial" w:hAnsi="Arial" w:cs="Arial"/>
          <w:sz w:val="22"/>
          <w:szCs w:val="22"/>
          <w:lang w:val="en-NZ"/>
        </w:rPr>
        <w:t xml:space="preserve">. This would see the vandalism top-up removed and reduce the need for schools record vandalism against Ministry-owned buildings separately. However, it would make it difficult for schools to manage in years in which they have excessive vandalism costs. </w:t>
      </w:r>
    </w:p>
    <w:p w:rsidR="00DD2EE0" w:rsidRPr="00F824FC" w:rsidRDefault="00DD2EE0" w:rsidP="00DD2EE0">
      <w:pPr>
        <w:pStyle w:val="ListParagraph"/>
        <w:numPr>
          <w:ilvl w:val="0"/>
          <w:numId w:val="16"/>
        </w:numPr>
        <w:spacing w:after="180" w:line="252" w:lineRule="auto"/>
        <w:contextualSpacing w:val="0"/>
        <w:rPr>
          <w:rFonts w:ascii="Arial" w:hAnsi="Arial" w:cs="Arial"/>
          <w:sz w:val="22"/>
          <w:szCs w:val="22"/>
          <w:lang w:val="en-NZ"/>
        </w:rPr>
      </w:pPr>
      <w:r>
        <w:rPr>
          <w:rFonts w:ascii="Arial" w:hAnsi="Arial" w:cs="Arial"/>
          <w:sz w:val="22"/>
          <w:szCs w:val="22"/>
          <w:lang w:val="en-NZ"/>
        </w:rPr>
        <w:t>With property maintenance funding (ring-fenced):</w:t>
      </w:r>
      <w:r>
        <w:rPr>
          <w:rFonts w:ascii="Arial" w:hAnsi="Arial" w:cs="Arial"/>
          <w:sz w:val="22"/>
          <w:szCs w:val="22"/>
          <w:lang w:val="en-NZ"/>
        </w:rPr>
        <w:br/>
      </w:r>
      <w:r w:rsidRPr="00F824FC">
        <w:rPr>
          <w:rFonts w:ascii="Arial" w:hAnsi="Arial" w:cs="Arial"/>
          <w:sz w:val="22"/>
          <w:szCs w:val="22"/>
          <w:lang w:val="en-NZ"/>
        </w:rPr>
        <w:t xml:space="preserve">This would reduce the ability of schools to use </w:t>
      </w:r>
      <w:proofErr w:type="spellStart"/>
      <w:r w:rsidRPr="00F824FC">
        <w:rPr>
          <w:rFonts w:ascii="Arial" w:hAnsi="Arial" w:cs="Arial"/>
          <w:sz w:val="22"/>
          <w:szCs w:val="22"/>
          <w:lang w:val="en-NZ"/>
        </w:rPr>
        <w:t>underspends</w:t>
      </w:r>
      <w:proofErr w:type="spellEnd"/>
      <w:r w:rsidRPr="00F824FC">
        <w:rPr>
          <w:rFonts w:ascii="Arial" w:hAnsi="Arial" w:cs="Arial"/>
          <w:sz w:val="22"/>
          <w:szCs w:val="22"/>
          <w:lang w:val="en-NZ"/>
        </w:rPr>
        <w:t xml:space="preserve"> for other purposes, but also reduces the ability of schools to quickly respond to minor vandalism events without the need to engage with the Ministry. This approach may provide a greater incentive for the Ministry to invest in security measures that reduce total spend on vandalism – although schools will still have a significant influence on the behaviour of those entering their sites. </w:t>
      </w:r>
    </w:p>
    <w:p w:rsidR="00DD2EE0" w:rsidRDefault="00DD2EE0" w:rsidP="00DD2EE0">
      <w:pPr>
        <w:pStyle w:val="TRNormal"/>
        <w:jc w:val="both"/>
        <w:rPr>
          <w:rFonts w:cs="Arial"/>
          <w:szCs w:val="22"/>
        </w:rPr>
      </w:pPr>
      <w:r>
        <w:rPr>
          <w:rFonts w:cs="Arial"/>
          <w:szCs w:val="22"/>
          <w:u w:val="single"/>
        </w:rPr>
        <w:t>Preliminary conclusion</w:t>
      </w:r>
    </w:p>
    <w:p w:rsidR="00DD2EE0" w:rsidRDefault="00DD2EE0" w:rsidP="00DD2EE0">
      <w:pPr>
        <w:pStyle w:val="TRNormal"/>
        <w:jc w:val="both"/>
        <w:rPr>
          <w:rFonts w:cs="Arial"/>
          <w:szCs w:val="22"/>
        </w:rPr>
      </w:pPr>
    </w:p>
    <w:p w:rsidR="00DD2EE0" w:rsidRDefault="00DD2EE0" w:rsidP="00DD2EE0">
      <w:pPr>
        <w:pStyle w:val="TRNormal"/>
        <w:ind w:left="0" w:firstLine="0"/>
        <w:jc w:val="both"/>
        <w:rPr>
          <w:rFonts w:cs="Arial"/>
          <w:szCs w:val="22"/>
        </w:rPr>
      </w:pPr>
      <w:r>
        <w:rPr>
          <w:rFonts w:cs="Arial"/>
          <w:szCs w:val="22"/>
        </w:rPr>
        <w:t>The option taken for vandalism will be influenced by whether PMG and Heat, Light and Water funding are ring-fenced. Based on current information, we recommend including vandalism funding in the ring-fenced amount for property related costs if ring-fencing is progressed, as it makes sense to have vandalism funding closely linked with property maintenance funding.</w:t>
      </w:r>
    </w:p>
    <w:p w:rsidR="00DD2EE0" w:rsidRDefault="00DD2EE0" w:rsidP="00DD2EE0">
      <w:pPr>
        <w:pStyle w:val="BlueSubheading3"/>
        <w:spacing w:before="0" w:after="0"/>
        <w:jc w:val="both"/>
      </w:pPr>
    </w:p>
    <w:p w:rsidR="00DD2EE0" w:rsidRPr="00F30FA9" w:rsidRDefault="00DD2EE0" w:rsidP="00DD2EE0">
      <w:pPr>
        <w:pStyle w:val="BlueSubheading3"/>
        <w:rPr>
          <w:sz w:val="24"/>
          <w:szCs w:val="24"/>
        </w:rPr>
      </w:pPr>
      <w:r w:rsidRPr="00F30FA9">
        <w:rPr>
          <w:sz w:val="24"/>
          <w:szCs w:val="24"/>
        </w:rPr>
        <w:t>Other property-related costs</w:t>
      </w:r>
    </w:p>
    <w:p w:rsidR="00DD2EE0" w:rsidRDefault="00DD2EE0" w:rsidP="00DD2EE0">
      <w:pPr>
        <w:pStyle w:val="TRNormal"/>
        <w:ind w:left="0" w:firstLine="0"/>
        <w:jc w:val="both"/>
        <w:rPr>
          <w:rFonts w:cs="Arial"/>
          <w:szCs w:val="22"/>
        </w:rPr>
      </w:pPr>
      <w:r>
        <w:rPr>
          <w:rFonts w:cs="Arial"/>
          <w:szCs w:val="22"/>
        </w:rPr>
        <w:t>There are other expenses that schools incur which are related to school property and are funded out of the operational grant, but are not factored into the funding for PMG, Heat Light and Water or Vandalism Grant components. Such expenses, which the Ministry expects schools to pay for from per pupil or base components, include:</w:t>
      </w:r>
    </w:p>
    <w:p w:rsidR="00DD2EE0" w:rsidRDefault="00DD2EE0" w:rsidP="00DD2EE0">
      <w:pPr>
        <w:pStyle w:val="TRNormal"/>
        <w:ind w:left="0" w:firstLine="0"/>
        <w:jc w:val="both"/>
        <w:rPr>
          <w:rFonts w:cs="Arial"/>
          <w:szCs w:val="22"/>
        </w:rPr>
      </w:pPr>
    </w:p>
    <w:p w:rsidR="00DD2EE0" w:rsidRDefault="00DD2EE0" w:rsidP="00AC2F26">
      <w:pPr>
        <w:pStyle w:val="TRNormal"/>
        <w:numPr>
          <w:ilvl w:val="1"/>
          <w:numId w:val="9"/>
        </w:numPr>
        <w:tabs>
          <w:tab w:val="clear" w:pos="2010"/>
        </w:tabs>
        <w:spacing w:after="120"/>
        <w:ind w:left="1134" w:hanging="357"/>
        <w:jc w:val="both"/>
        <w:rPr>
          <w:rFonts w:cs="Arial"/>
          <w:szCs w:val="22"/>
        </w:rPr>
      </w:pPr>
      <w:r>
        <w:rPr>
          <w:rFonts w:cs="Arial"/>
          <w:szCs w:val="22"/>
        </w:rPr>
        <w:t>cleaning</w:t>
      </w:r>
    </w:p>
    <w:p w:rsidR="00DD2EE0" w:rsidRDefault="00DD2EE0" w:rsidP="00AC2F26">
      <w:pPr>
        <w:pStyle w:val="TRNormal"/>
        <w:numPr>
          <w:ilvl w:val="1"/>
          <w:numId w:val="9"/>
        </w:numPr>
        <w:tabs>
          <w:tab w:val="clear" w:pos="2010"/>
        </w:tabs>
        <w:spacing w:after="120"/>
        <w:ind w:left="1134" w:hanging="357"/>
        <w:jc w:val="both"/>
        <w:rPr>
          <w:rFonts w:cs="Arial"/>
          <w:szCs w:val="22"/>
        </w:rPr>
      </w:pPr>
      <w:r>
        <w:rPr>
          <w:rFonts w:cs="Arial"/>
          <w:szCs w:val="22"/>
        </w:rPr>
        <w:t>rubbish disposal</w:t>
      </w:r>
    </w:p>
    <w:p w:rsidR="00DD2EE0" w:rsidRDefault="00DD2EE0" w:rsidP="00AC2F26">
      <w:pPr>
        <w:pStyle w:val="TRNormal"/>
        <w:numPr>
          <w:ilvl w:val="1"/>
          <w:numId w:val="9"/>
        </w:numPr>
        <w:tabs>
          <w:tab w:val="clear" w:pos="2010"/>
        </w:tabs>
        <w:spacing w:after="120"/>
        <w:ind w:left="1134" w:hanging="357"/>
        <w:jc w:val="both"/>
        <w:rPr>
          <w:rFonts w:cs="Arial"/>
          <w:szCs w:val="22"/>
        </w:rPr>
      </w:pPr>
      <w:r>
        <w:rPr>
          <w:rFonts w:cs="Arial"/>
          <w:szCs w:val="22"/>
        </w:rPr>
        <w:t>pool chemicals (or transport to a community pool)</w:t>
      </w:r>
    </w:p>
    <w:p w:rsidR="00DD2EE0" w:rsidRDefault="00DD2EE0" w:rsidP="00AC2F26">
      <w:pPr>
        <w:pStyle w:val="TRNormal"/>
        <w:numPr>
          <w:ilvl w:val="1"/>
          <w:numId w:val="9"/>
        </w:numPr>
        <w:tabs>
          <w:tab w:val="clear" w:pos="2010"/>
        </w:tabs>
        <w:spacing w:after="120"/>
        <w:ind w:left="1134" w:hanging="357"/>
        <w:jc w:val="both"/>
        <w:rPr>
          <w:rFonts w:cs="Arial"/>
          <w:szCs w:val="22"/>
        </w:rPr>
      </w:pPr>
      <w:r>
        <w:rPr>
          <w:rFonts w:cs="Arial"/>
          <w:szCs w:val="22"/>
        </w:rPr>
        <w:t>caretaker’s wages</w:t>
      </w:r>
    </w:p>
    <w:p w:rsidR="00DD2EE0" w:rsidRDefault="00DD2EE0" w:rsidP="00AC2F26">
      <w:pPr>
        <w:pStyle w:val="TRNormal"/>
        <w:numPr>
          <w:ilvl w:val="1"/>
          <w:numId w:val="9"/>
        </w:numPr>
        <w:tabs>
          <w:tab w:val="clear" w:pos="2010"/>
        </w:tabs>
        <w:spacing w:after="120"/>
        <w:ind w:left="1134" w:hanging="357"/>
        <w:jc w:val="both"/>
        <w:rPr>
          <w:rFonts w:cs="Arial"/>
          <w:szCs w:val="22"/>
        </w:rPr>
      </w:pPr>
      <w:r>
        <w:rPr>
          <w:rFonts w:cs="Arial"/>
          <w:szCs w:val="22"/>
        </w:rPr>
        <w:t>lawn-mowing</w:t>
      </w:r>
    </w:p>
    <w:p w:rsidR="00DD2EE0" w:rsidRDefault="00DD2EE0" w:rsidP="00AC2F26">
      <w:pPr>
        <w:pStyle w:val="TRNormal"/>
        <w:numPr>
          <w:ilvl w:val="1"/>
          <w:numId w:val="9"/>
        </w:numPr>
        <w:tabs>
          <w:tab w:val="clear" w:pos="2010"/>
        </w:tabs>
        <w:spacing w:after="120"/>
        <w:ind w:left="1134" w:hanging="357"/>
        <w:jc w:val="both"/>
        <w:rPr>
          <w:rFonts w:cs="Arial"/>
          <w:szCs w:val="22"/>
        </w:rPr>
      </w:pPr>
      <w:r>
        <w:rPr>
          <w:rFonts w:cs="Arial"/>
          <w:szCs w:val="22"/>
        </w:rPr>
        <w:t>pest control</w:t>
      </w:r>
    </w:p>
    <w:p w:rsidR="00DD2EE0" w:rsidRDefault="00DD2EE0" w:rsidP="00DD2EE0">
      <w:pPr>
        <w:pStyle w:val="TRNormal"/>
        <w:ind w:left="0" w:firstLine="0"/>
        <w:jc w:val="both"/>
        <w:rPr>
          <w:rFonts w:cs="Arial"/>
          <w:szCs w:val="22"/>
        </w:rPr>
      </w:pPr>
      <w:r>
        <w:rPr>
          <w:rFonts w:cs="Arial"/>
          <w:szCs w:val="22"/>
        </w:rPr>
        <w:t>It is possible that some of these tasks/costs can be rolled into the ring-fenced amount for property maintenance, though more work will be required to understand what schools currently spend on these activities and define what good looks like.</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To date the Ministry’s focus has been on gathering data about property maintenance and utilities, as together these help ensure school buildings are safe and inspiring, and the internal environment is warm and well-lit to minimise distractions for learners. Core maintenance activities are also more closely related to preserving the value of these Crown assets and reducing the need for costly capital interventions. </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Some schools have indicated they would like to pass responsibility to the Ministry for as large a proportion of property-related activities as possible. It is possible that a facilities management contract could be ‘full service’, or for a contractor to offer a menu of additional services that schools can opt to receive. These add-ons could either be:</w:t>
      </w:r>
    </w:p>
    <w:p w:rsidR="00DD2EE0" w:rsidRDefault="00DD2EE0" w:rsidP="00DD2EE0">
      <w:pPr>
        <w:pStyle w:val="TRNormal"/>
        <w:ind w:left="0" w:firstLine="0"/>
        <w:jc w:val="both"/>
        <w:rPr>
          <w:rFonts w:cs="Arial"/>
          <w:szCs w:val="22"/>
        </w:rPr>
      </w:pPr>
    </w:p>
    <w:p w:rsidR="00DD2EE0" w:rsidRDefault="00DD2EE0" w:rsidP="00DD2EE0">
      <w:pPr>
        <w:pStyle w:val="TRNormal"/>
        <w:numPr>
          <w:ilvl w:val="0"/>
          <w:numId w:val="35"/>
        </w:numPr>
        <w:tabs>
          <w:tab w:val="clear" w:pos="2010"/>
          <w:tab w:val="num" w:pos="720"/>
        </w:tabs>
        <w:ind w:left="720"/>
        <w:jc w:val="both"/>
        <w:rPr>
          <w:rFonts w:cs="Arial"/>
          <w:szCs w:val="22"/>
        </w:rPr>
      </w:pPr>
      <w:r>
        <w:rPr>
          <w:rFonts w:cs="Arial"/>
          <w:szCs w:val="22"/>
        </w:rPr>
        <w:t>at the school’s cost based on the actual cost from the facilities management contractor (works best if the add-ons are part of the cashed-up funding)</w:t>
      </w:r>
    </w:p>
    <w:p w:rsidR="00DD2EE0" w:rsidRDefault="00DD2EE0" w:rsidP="00DD2EE0">
      <w:pPr>
        <w:pStyle w:val="TRNormal"/>
        <w:ind w:left="720" w:firstLine="0"/>
        <w:jc w:val="both"/>
        <w:rPr>
          <w:rFonts w:cs="Arial"/>
          <w:szCs w:val="22"/>
        </w:rPr>
      </w:pPr>
    </w:p>
    <w:p w:rsidR="00DD2EE0" w:rsidRDefault="00DD2EE0" w:rsidP="00DD2EE0">
      <w:pPr>
        <w:pStyle w:val="TRNormal"/>
        <w:numPr>
          <w:ilvl w:val="0"/>
          <w:numId w:val="35"/>
        </w:numPr>
        <w:tabs>
          <w:tab w:val="clear" w:pos="2010"/>
          <w:tab w:val="num" w:pos="720"/>
        </w:tabs>
        <w:ind w:left="720"/>
        <w:jc w:val="both"/>
        <w:rPr>
          <w:rFonts w:cs="Arial"/>
          <w:szCs w:val="22"/>
        </w:rPr>
      </w:pPr>
      <w:proofErr w:type="gramStart"/>
      <w:r>
        <w:rPr>
          <w:rFonts w:cs="Arial"/>
          <w:szCs w:val="22"/>
        </w:rPr>
        <w:t>funded</w:t>
      </w:r>
      <w:proofErr w:type="gramEnd"/>
      <w:r>
        <w:rPr>
          <w:rFonts w:cs="Arial"/>
          <w:szCs w:val="22"/>
        </w:rPr>
        <w:t xml:space="preserve"> (in-part or wholly) by removing a component of funding from the school.</w:t>
      </w:r>
    </w:p>
    <w:p w:rsidR="00DD2EE0" w:rsidRDefault="00DD2EE0" w:rsidP="00DD2EE0">
      <w:pPr>
        <w:pStyle w:val="TRNormal"/>
        <w:ind w:left="0" w:firstLine="0"/>
        <w:jc w:val="both"/>
        <w:rPr>
          <w:rFonts w:cs="Arial"/>
          <w:szCs w:val="22"/>
        </w:rPr>
      </w:pPr>
    </w:p>
    <w:p w:rsidR="00DD2EE0" w:rsidRDefault="00DD2EE0" w:rsidP="00DD2EE0">
      <w:pPr>
        <w:pStyle w:val="TRNormal"/>
        <w:jc w:val="both"/>
        <w:rPr>
          <w:rFonts w:cs="Arial"/>
          <w:szCs w:val="22"/>
        </w:rPr>
      </w:pPr>
      <w:r>
        <w:rPr>
          <w:rFonts w:cs="Arial"/>
          <w:szCs w:val="22"/>
          <w:u w:val="single"/>
        </w:rPr>
        <w:t>Preliminary conclusion</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 xml:space="preserve">Option b) would work best if every element of facilities management was an itemised element of the funding formula. However, this is not the current approach, nor does it align with the more streamlined direction of funding systems signalled by the Minister. </w:t>
      </w:r>
    </w:p>
    <w:p w:rsidR="00DD2EE0" w:rsidRDefault="00DD2EE0" w:rsidP="00DD2EE0">
      <w:pPr>
        <w:pStyle w:val="TRNormal"/>
        <w:ind w:left="0" w:firstLine="0"/>
        <w:jc w:val="both"/>
        <w:rPr>
          <w:rFonts w:cs="Arial"/>
          <w:szCs w:val="22"/>
        </w:rPr>
      </w:pPr>
    </w:p>
    <w:p w:rsidR="00DD2EE0" w:rsidRDefault="00DD2EE0" w:rsidP="00DD2EE0">
      <w:pPr>
        <w:pStyle w:val="TRNormal"/>
        <w:ind w:left="0" w:firstLine="0"/>
        <w:jc w:val="both"/>
        <w:rPr>
          <w:rFonts w:cs="Arial"/>
          <w:szCs w:val="22"/>
        </w:rPr>
      </w:pPr>
      <w:r>
        <w:rPr>
          <w:rFonts w:cs="Arial"/>
          <w:szCs w:val="22"/>
        </w:rPr>
        <w:t>As such, we recommend that these other elements of property-related funding remain part of operational funding, at least for the time being.</w:t>
      </w:r>
    </w:p>
    <w:p w:rsidR="00DD2EE0" w:rsidRDefault="00DD2EE0" w:rsidP="00DD2EE0">
      <w:pPr>
        <w:pStyle w:val="TRNormal"/>
        <w:jc w:val="both"/>
        <w:rPr>
          <w:rFonts w:cs="Arial"/>
          <w:szCs w:val="22"/>
        </w:rPr>
      </w:pPr>
    </w:p>
    <w:p w:rsidR="00DD2EE0" w:rsidRPr="000A4FD1" w:rsidRDefault="00DD2EE0" w:rsidP="00DD2EE0">
      <w:pPr>
        <w:pStyle w:val="BlueSubheading3"/>
        <w:rPr>
          <w:sz w:val="24"/>
          <w:szCs w:val="24"/>
        </w:rPr>
      </w:pPr>
      <w:r w:rsidRPr="000A4FD1">
        <w:rPr>
          <w:sz w:val="24"/>
          <w:szCs w:val="24"/>
        </w:rPr>
        <w:t>Conclusion</w:t>
      </w:r>
    </w:p>
    <w:p w:rsidR="00DD2EE0" w:rsidRDefault="00DD2EE0" w:rsidP="00DD2EE0">
      <w:pPr>
        <w:pStyle w:val="TRNormal"/>
        <w:ind w:left="0" w:firstLine="0"/>
        <w:jc w:val="both"/>
        <w:rPr>
          <w:rFonts w:cs="Arial"/>
          <w:szCs w:val="22"/>
        </w:rPr>
      </w:pPr>
      <w:r>
        <w:rPr>
          <w:rFonts w:cs="Arial"/>
          <w:szCs w:val="22"/>
        </w:rPr>
        <w:t xml:space="preserve">Based on current information, we </w:t>
      </w:r>
      <w:r w:rsidR="00175D2C">
        <w:rPr>
          <w:rFonts w:cs="Arial"/>
          <w:szCs w:val="22"/>
        </w:rPr>
        <w:t xml:space="preserve">can see benefit in </w:t>
      </w:r>
      <w:r>
        <w:rPr>
          <w:rFonts w:cs="Arial"/>
          <w:szCs w:val="22"/>
        </w:rPr>
        <w:t>progressing ring-fencing property maintenance,</w:t>
      </w:r>
      <w:r w:rsidR="00175D2C">
        <w:rPr>
          <w:rFonts w:cs="Arial"/>
          <w:szCs w:val="22"/>
        </w:rPr>
        <w:t xml:space="preserve"> utilities and vandalism. This c</w:t>
      </w:r>
      <w:r>
        <w:rPr>
          <w:rFonts w:cs="Arial"/>
          <w:szCs w:val="22"/>
        </w:rPr>
        <w:t>ould:</w:t>
      </w:r>
    </w:p>
    <w:p w:rsidR="00DD2EE0" w:rsidRDefault="00DD2EE0" w:rsidP="00DD2EE0">
      <w:pPr>
        <w:pStyle w:val="TRNormal"/>
        <w:ind w:left="0" w:firstLine="0"/>
        <w:jc w:val="both"/>
        <w:rPr>
          <w:rFonts w:cs="Arial"/>
          <w:szCs w:val="22"/>
        </w:rPr>
      </w:pPr>
    </w:p>
    <w:p w:rsidR="00DD2EE0" w:rsidRDefault="00DD2EE0" w:rsidP="00DD2EE0">
      <w:pPr>
        <w:pStyle w:val="TRNormal"/>
        <w:numPr>
          <w:ilvl w:val="0"/>
          <w:numId w:val="44"/>
        </w:numPr>
        <w:jc w:val="both"/>
        <w:rPr>
          <w:rFonts w:cs="Arial"/>
          <w:szCs w:val="22"/>
        </w:rPr>
      </w:pPr>
      <w:r>
        <w:rPr>
          <w:rFonts w:cs="Arial"/>
          <w:szCs w:val="22"/>
        </w:rPr>
        <w:t>provide greater clarity about the level of investment in property relative to teaching learning</w:t>
      </w:r>
    </w:p>
    <w:p w:rsidR="00DD2EE0" w:rsidRDefault="00DD2EE0" w:rsidP="00DD2EE0">
      <w:pPr>
        <w:pStyle w:val="TRNormal"/>
        <w:ind w:left="720" w:firstLine="0"/>
        <w:jc w:val="both"/>
        <w:rPr>
          <w:rFonts w:cs="Arial"/>
          <w:szCs w:val="22"/>
        </w:rPr>
      </w:pPr>
    </w:p>
    <w:p w:rsidR="00DD2EE0" w:rsidRDefault="00DD2EE0" w:rsidP="00DD2EE0">
      <w:pPr>
        <w:pStyle w:val="TRNormal"/>
        <w:numPr>
          <w:ilvl w:val="0"/>
          <w:numId w:val="44"/>
        </w:numPr>
        <w:jc w:val="both"/>
        <w:rPr>
          <w:rFonts w:cs="Arial"/>
          <w:szCs w:val="22"/>
        </w:rPr>
      </w:pPr>
      <w:r>
        <w:rPr>
          <w:rFonts w:cs="Arial"/>
          <w:szCs w:val="22"/>
        </w:rPr>
        <w:t>support the Ministry to better guide and support schools to make efficient decisions, through a clearer understanding of their property-related expenditure, leading to more time for school leaders to focus on teaching and learning</w:t>
      </w:r>
    </w:p>
    <w:p w:rsidR="00DD2EE0" w:rsidRDefault="00DD2EE0" w:rsidP="00DD2EE0">
      <w:pPr>
        <w:pStyle w:val="TRNormal"/>
        <w:ind w:left="0" w:firstLine="0"/>
        <w:jc w:val="both"/>
        <w:rPr>
          <w:rFonts w:cs="Arial"/>
          <w:szCs w:val="22"/>
        </w:rPr>
      </w:pPr>
    </w:p>
    <w:p w:rsidR="00DD2EE0" w:rsidRDefault="00DD2EE0" w:rsidP="00DD2EE0">
      <w:pPr>
        <w:pStyle w:val="TRNormal"/>
        <w:numPr>
          <w:ilvl w:val="0"/>
          <w:numId w:val="44"/>
        </w:numPr>
        <w:jc w:val="both"/>
        <w:rPr>
          <w:rFonts w:cs="Arial"/>
          <w:szCs w:val="22"/>
        </w:rPr>
      </w:pPr>
      <w:r>
        <w:rPr>
          <w:rFonts w:cs="Arial"/>
          <w:szCs w:val="22"/>
        </w:rPr>
        <w:t>better align capital and operational funding related to property to incentivise whole of life cost decision making</w:t>
      </w:r>
    </w:p>
    <w:p w:rsidR="00DD2EE0" w:rsidRDefault="00DD2EE0" w:rsidP="00DD2EE0">
      <w:pPr>
        <w:pStyle w:val="TRNormal"/>
        <w:ind w:left="0" w:firstLine="0"/>
        <w:jc w:val="both"/>
        <w:rPr>
          <w:rFonts w:cs="Arial"/>
          <w:szCs w:val="22"/>
        </w:rPr>
      </w:pPr>
    </w:p>
    <w:p w:rsidR="00DD2EE0" w:rsidRPr="0081530F" w:rsidRDefault="00DD2EE0" w:rsidP="00DD2EE0">
      <w:pPr>
        <w:pStyle w:val="TRNormal"/>
        <w:numPr>
          <w:ilvl w:val="0"/>
          <w:numId w:val="44"/>
        </w:numPr>
        <w:jc w:val="both"/>
        <w:rPr>
          <w:rFonts w:cs="Arial"/>
          <w:szCs w:val="22"/>
        </w:rPr>
      </w:pPr>
      <w:proofErr w:type="gramStart"/>
      <w:r>
        <w:rPr>
          <w:rFonts w:cs="Arial"/>
          <w:szCs w:val="22"/>
        </w:rPr>
        <w:t>better</w:t>
      </w:r>
      <w:proofErr w:type="gramEnd"/>
      <w:r>
        <w:rPr>
          <w:rFonts w:cs="Arial"/>
          <w:szCs w:val="22"/>
        </w:rPr>
        <w:t xml:space="preserve"> support the Ministry to manage the risk to the Crown’s investment in school property.</w:t>
      </w:r>
    </w:p>
    <w:p w:rsidR="00DD2EE0" w:rsidRDefault="00DD2EE0" w:rsidP="00DD2EE0">
      <w:pPr>
        <w:pStyle w:val="TRNormal"/>
        <w:ind w:left="0" w:firstLine="0"/>
        <w:jc w:val="both"/>
        <w:rPr>
          <w:rFonts w:cs="Arial"/>
          <w:szCs w:val="22"/>
        </w:rPr>
      </w:pPr>
    </w:p>
    <w:p w:rsidR="00DD2EE0" w:rsidRDefault="00DD2EE0" w:rsidP="00DD2EE0">
      <w:pPr>
        <w:pBdr>
          <w:top w:val="single" w:sz="12" w:space="0" w:color="3472AC"/>
          <w:left w:val="single" w:sz="12" w:space="4" w:color="3472AC"/>
          <w:bottom w:val="single" w:sz="12" w:space="1" w:color="3472AC"/>
          <w:right w:val="single" w:sz="12" w:space="23" w:color="3472AC"/>
        </w:pBdr>
        <w:ind w:left="357" w:right="510"/>
        <w:rPr>
          <w:rFonts w:ascii="Arial" w:hAnsi="Arial" w:cs="Arial"/>
          <w:i/>
          <w:color w:val="3472AC"/>
          <w:sz w:val="22"/>
        </w:rPr>
      </w:pPr>
      <w:r>
        <w:rPr>
          <w:rFonts w:ascii="Arial" w:hAnsi="Arial" w:cs="Arial"/>
          <w:i/>
          <w:color w:val="3472AC"/>
          <w:sz w:val="22"/>
        </w:rPr>
        <w:t>Questions for discussion:</w:t>
      </w:r>
    </w:p>
    <w:p w:rsidR="00DD2EE0" w:rsidRDefault="00DD2EE0" w:rsidP="00DD2EE0">
      <w:pPr>
        <w:pBdr>
          <w:top w:val="single" w:sz="12" w:space="0" w:color="3472AC"/>
          <w:left w:val="single" w:sz="12" w:space="4" w:color="3472AC"/>
          <w:bottom w:val="single" w:sz="12" w:space="1" w:color="3472AC"/>
          <w:right w:val="single" w:sz="12" w:space="23" w:color="3472AC"/>
        </w:pBdr>
        <w:ind w:left="357" w:right="510"/>
        <w:rPr>
          <w:rFonts w:ascii="Arial" w:hAnsi="Arial" w:cs="Arial"/>
          <w:i/>
          <w:color w:val="3472AC"/>
          <w:sz w:val="22"/>
        </w:rPr>
      </w:pPr>
    </w:p>
    <w:p w:rsidR="00DD2EE0" w:rsidRDefault="00DD2EE0" w:rsidP="00DD2EE0">
      <w:pPr>
        <w:pBdr>
          <w:top w:val="single" w:sz="12" w:space="0" w:color="3472AC"/>
          <w:left w:val="single" w:sz="12" w:space="4" w:color="3472AC"/>
          <w:bottom w:val="single" w:sz="12" w:space="1" w:color="3472AC"/>
          <w:right w:val="single" w:sz="12" w:space="23" w:color="3472AC"/>
        </w:pBdr>
        <w:ind w:left="357" w:right="510"/>
        <w:jc w:val="both"/>
        <w:rPr>
          <w:rFonts w:ascii="Arial" w:hAnsi="Arial" w:cs="Arial"/>
          <w:i/>
          <w:color w:val="3472AC"/>
          <w:sz w:val="22"/>
        </w:rPr>
      </w:pPr>
      <w:r w:rsidRPr="0024555F">
        <w:rPr>
          <w:rFonts w:ascii="Arial" w:hAnsi="Arial" w:cs="Arial"/>
          <w:i/>
          <w:color w:val="3472AC"/>
          <w:sz w:val="22"/>
        </w:rPr>
        <w:t xml:space="preserve">If ring-fencing is progressed, would you support a staged </w:t>
      </w:r>
      <w:r>
        <w:rPr>
          <w:rFonts w:ascii="Arial" w:hAnsi="Arial" w:cs="Arial"/>
          <w:i/>
          <w:color w:val="3472AC"/>
          <w:sz w:val="22"/>
        </w:rPr>
        <w:t xml:space="preserve">approach </w:t>
      </w:r>
      <w:r w:rsidRPr="0024555F">
        <w:rPr>
          <w:rFonts w:ascii="Arial" w:hAnsi="Arial" w:cs="Arial"/>
          <w:i/>
          <w:color w:val="3472AC"/>
          <w:sz w:val="22"/>
        </w:rPr>
        <w:t>(eg beginning with Heat</w:t>
      </w:r>
      <w:r>
        <w:rPr>
          <w:rFonts w:ascii="Arial" w:hAnsi="Arial" w:cs="Arial"/>
          <w:i/>
          <w:color w:val="3472AC"/>
          <w:sz w:val="22"/>
        </w:rPr>
        <w:t>,</w:t>
      </w:r>
      <w:r w:rsidRPr="0024555F">
        <w:rPr>
          <w:rFonts w:ascii="Arial" w:hAnsi="Arial" w:cs="Arial"/>
          <w:i/>
          <w:color w:val="3472AC"/>
          <w:sz w:val="22"/>
        </w:rPr>
        <w:t xml:space="preserve"> Light and Water and then bringing more funding across into the infrastructure funding stream) or minimising the number of changes to funding allocations?</w:t>
      </w:r>
    </w:p>
    <w:p w:rsidR="00DD2EE0" w:rsidRDefault="00DD2EE0" w:rsidP="00DD2EE0">
      <w:pPr>
        <w:pBdr>
          <w:top w:val="single" w:sz="12" w:space="0" w:color="3472AC"/>
          <w:left w:val="single" w:sz="12" w:space="4" w:color="3472AC"/>
          <w:bottom w:val="single" w:sz="12" w:space="1" w:color="3472AC"/>
          <w:right w:val="single" w:sz="12" w:space="23" w:color="3472AC"/>
        </w:pBdr>
        <w:ind w:left="357" w:right="510"/>
        <w:rPr>
          <w:rFonts w:ascii="Arial" w:hAnsi="Arial" w:cs="Arial"/>
          <w:i/>
          <w:color w:val="3472AC"/>
          <w:sz w:val="22"/>
        </w:rPr>
      </w:pPr>
    </w:p>
    <w:p w:rsidR="00DD2EE0" w:rsidRPr="0024555F" w:rsidRDefault="00DD2EE0" w:rsidP="00DD2EE0">
      <w:pPr>
        <w:pBdr>
          <w:top w:val="single" w:sz="12" w:space="0" w:color="3472AC"/>
          <w:left w:val="single" w:sz="12" w:space="4" w:color="3472AC"/>
          <w:bottom w:val="single" w:sz="12" w:space="1" w:color="3472AC"/>
          <w:right w:val="single" w:sz="12" w:space="23" w:color="3472AC"/>
        </w:pBdr>
        <w:ind w:left="357" w:right="510"/>
        <w:jc w:val="both"/>
        <w:rPr>
          <w:rFonts w:ascii="Arial" w:hAnsi="Arial" w:cs="Arial"/>
          <w:i/>
          <w:color w:val="3472AC"/>
          <w:sz w:val="22"/>
        </w:rPr>
      </w:pPr>
      <w:r w:rsidRPr="0024555F">
        <w:rPr>
          <w:rFonts w:ascii="Arial" w:hAnsi="Arial" w:cs="Arial"/>
          <w:i/>
          <w:color w:val="3472AC"/>
          <w:sz w:val="22"/>
        </w:rPr>
        <w:t>How will this all work for Communities of Learning (</w:t>
      </w:r>
      <w:proofErr w:type="spellStart"/>
      <w:r w:rsidRPr="0024555F">
        <w:rPr>
          <w:rFonts w:ascii="Arial" w:hAnsi="Arial" w:cs="Arial"/>
          <w:i/>
          <w:color w:val="3472AC"/>
          <w:sz w:val="22"/>
        </w:rPr>
        <w:t>CoLs</w:t>
      </w:r>
      <w:proofErr w:type="spellEnd"/>
      <w:r w:rsidRPr="0024555F">
        <w:rPr>
          <w:rFonts w:ascii="Arial" w:hAnsi="Arial" w:cs="Arial"/>
          <w:i/>
          <w:color w:val="3472AC"/>
          <w:sz w:val="22"/>
        </w:rPr>
        <w:t>)?</w:t>
      </w:r>
    </w:p>
    <w:p w:rsidR="00DD2EE0" w:rsidRPr="0024555F" w:rsidRDefault="00DD2EE0" w:rsidP="00DD2EE0">
      <w:pPr>
        <w:pBdr>
          <w:top w:val="single" w:sz="12" w:space="0" w:color="3472AC"/>
          <w:left w:val="single" w:sz="12" w:space="4" w:color="3472AC"/>
          <w:bottom w:val="single" w:sz="12" w:space="1" w:color="3472AC"/>
          <w:right w:val="single" w:sz="12" w:space="23" w:color="3472AC"/>
        </w:pBdr>
        <w:ind w:left="357" w:right="510"/>
        <w:jc w:val="both"/>
        <w:rPr>
          <w:rFonts w:ascii="Arial" w:hAnsi="Arial" w:cs="Arial"/>
          <w:i/>
          <w:color w:val="3472AC"/>
          <w:sz w:val="22"/>
        </w:rPr>
      </w:pPr>
      <w:r>
        <w:rPr>
          <w:rFonts w:ascii="Arial" w:hAnsi="Arial" w:cs="Arial"/>
          <w:i/>
          <w:color w:val="3472AC"/>
          <w:sz w:val="22"/>
        </w:rPr>
        <w:t xml:space="preserve">  * </w:t>
      </w:r>
      <w:r w:rsidRPr="0024555F">
        <w:rPr>
          <w:rFonts w:ascii="Arial" w:hAnsi="Arial" w:cs="Arial"/>
          <w:i/>
          <w:color w:val="3472AC"/>
          <w:sz w:val="22"/>
        </w:rPr>
        <w:t>pooling funding?</w:t>
      </w:r>
    </w:p>
    <w:p w:rsidR="00DD2EE0" w:rsidRDefault="00DD2EE0" w:rsidP="00DD2EE0">
      <w:pPr>
        <w:pBdr>
          <w:top w:val="single" w:sz="12" w:space="0" w:color="3472AC"/>
          <w:left w:val="single" w:sz="12" w:space="4" w:color="3472AC"/>
          <w:bottom w:val="single" w:sz="12" w:space="1" w:color="3472AC"/>
          <w:right w:val="single" w:sz="12" w:space="23" w:color="3472AC"/>
        </w:pBdr>
        <w:ind w:left="357" w:right="510"/>
        <w:jc w:val="both"/>
        <w:rPr>
          <w:rFonts w:ascii="Arial" w:hAnsi="Arial" w:cs="Arial"/>
          <w:i/>
          <w:color w:val="3472AC"/>
          <w:sz w:val="22"/>
        </w:rPr>
      </w:pPr>
      <w:r>
        <w:rPr>
          <w:rFonts w:ascii="Arial" w:hAnsi="Arial" w:cs="Arial"/>
          <w:i/>
          <w:color w:val="3472AC"/>
          <w:sz w:val="22"/>
        </w:rPr>
        <w:t xml:space="preserve">  * </w:t>
      </w:r>
      <w:proofErr w:type="spellStart"/>
      <w:r w:rsidRPr="0024555F">
        <w:rPr>
          <w:rFonts w:ascii="Arial" w:hAnsi="Arial" w:cs="Arial"/>
          <w:i/>
          <w:color w:val="3472AC"/>
          <w:sz w:val="22"/>
        </w:rPr>
        <w:t>CoL</w:t>
      </w:r>
      <w:proofErr w:type="spellEnd"/>
      <w:r w:rsidRPr="0024555F">
        <w:rPr>
          <w:rFonts w:ascii="Arial" w:hAnsi="Arial" w:cs="Arial"/>
          <w:i/>
          <w:color w:val="3472AC"/>
          <w:sz w:val="22"/>
        </w:rPr>
        <w:t>-based contracts for goods and services?</w:t>
      </w:r>
    </w:p>
    <w:p w:rsidR="00DD2EE0" w:rsidRDefault="00DD2EE0" w:rsidP="00DD2EE0">
      <w:pPr>
        <w:pBdr>
          <w:top w:val="single" w:sz="12" w:space="0" w:color="3472AC"/>
          <w:left w:val="single" w:sz="12" w:space="4" w:color="3472AC"/>
          <w:bottom w:val="single" w:sz="12" w:space="1" w:color="3472AC"/>
          <w:right w:val="single" w:sz="12" w:space="23" w:color="3472AC"/>
        </w:pBdr>
        <w:ind w:left="357" w:right="510"/>
        <w:rPr>
          <w:rFonts w:ascii="Arial" w:hAnsi="Arial" w:cs="Arial"/>
          <w:i/>
          <w:color w:val="3472AC"/>
          <w:sz w:val="22"/>
        </w:rPr>
      </w:pPr>
    </w:p>
    <w:p w:rsidR="00DD2EE0" w:rsidRDefault="00DD2EE0" w:rsidP="00DD2EE0">
      <w:pPr>
        <w:pBdr>
          <w:top w:val="single" w:sz="12" w:space="0" w:color="3472AC"/>
          <w:left w:val="single" w:sz="12" w:space="4" w:color="3472AC"/>
          <w:bottom w:val="single" w:sz="12" w:space="1" w:color="3472AC"/>
          <w:right w:val="single" w:sz="12" w:space="23" w:color="3472AC"/>
        </w:pBdr>
        <w:spacing w:after="240"/>
        <w:ind w:left="357" w:right="510"/>
        <w:jc w:val="both"/>
        <w:rPr>
          <w:rFonts w:ascii="Arial" w:hAnsi="Arial" w:cs="Arial"/>
          <w:i/>
          <w:color w:val="3472AC"/>
          <w:sz w:val="22"/>
        </w:rPr>
      </w:pPr>
      <w:r w:rsidRPr="0024555F">
        <w:rPr>
          <w:rFonts w:ascii="Arial" w:hAnsi="Arial" w:cs="Arial"/>
          <w:i/>
          <w:color w:val="3472AC"/>
          <w:sz w:val="22"/>
        </w:rPr>
        <w:t>Does separating property-related funding from funding for teaching an</w:t>
      </w:r>
      <w:r>
        <w:rPr>
          <w:rFonts w:ascii="Arial" w:hAnsi="Arial" w:cs="Arial"/>
          <w:i/>
          <w:color w:val="3472AC"/>
          <w:sz w:val="22"/>
        </w:rPr>
        <w:t>d learning make sense for state-</w:t>
      </w:r>
      <w:r w:rsidRPr="0024555F">
        <w:rPr>
          <w:rFonts w:ascii="Arial" w:hAnsi="Arial" w:cs="Arial"/>
          <w:i/>
          <w:color w:val="3472AC"/>
          <w:sz w:val="22"/>
        </w:rPr>
        <w:t>integrated schools, given the Crown’s different ownership interest in the assets?</w:t>
      </w:r>
    </w:p>
    <w:p w:rsidR="00DD2EE0" w:rsidRPr="00CF13D0" w:rsidRDefault="00DD2EE0" w:rsidP="00DD2EE0">
      <w:pPr>
        <w:pBdr>
          <w:top w:val="single" w:sz="12" w:space="0" w:color="3472AC"/>
          <w:left w:val="single" w:sz="12" w:space="4" w:color="3472AC"/>
          <w:bottom w:val="single" w:sz="12" w:space="1" w:color="3472AC"/>
          <w:right w:val="single" w:sz="12" w:space="23" w:color="3472AC"/>
        </w:pBdr>
        <w:ind w:left="357" w:right="510"/>
        <w:rPr>
          <w:rFonts w:ascii="Arial" w:hAnsi="Arial" w:cs="Arial"/>
          <w:i/>
          <w:color w:val="3472AC"/>
          <w:sz w:val="6"/>
          <w:szCs w:val="6"/>
        </w:rPr>
      </w:pPr>
    </w:p>
    <w:sectPr w:rsidR="00DD2EE0" w:rsidRPr="00CF13D0" w:rsidSect="001D6579">
      <w:headerReference w:type="default" r:id="rId11"/>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CB8" w:rsidRDefault="005C2CB8" w:rsidP="00A61C76">
      <w:r>
        <w:separator/>
      </w:r>
    </w:p>
  </w:endnote>
  <w:endnote w:type="continuationSeparator" w:id="0">
    <w:p w:rsidR="005C2CB8" w:rsidRDefault="005C2CB8" w:rsidP="00A61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3519"/>
      <w:docPartObj>
        <w:docPartGallery w:val="Page Numbers (Bottom of Page)"/>
        <w:docPartUnique/>
      </w:docPartObj>
    </w:sdtPr>
    <w:sdtContent>
      <w:p w:rsidR="005C2CB8" w:rsidRPr="00F85436" w:rsidRDefault="008E4186" w:rsidP="00F85436">
        <w:pPr>
          <w:pStyle w:val="Footer"/>
          <w:rPr>
            <w:sz w:val="20"/>
          </w:rPr>
        </w:pPr>
        <w:r>
          <w:rPr>
            <w:sz w:val="20"/>
          </w:rPr>
          <w:t>24</w:t>
        </w:r>
        <w:r w:rsidR="005C2CB8">
          <w:rPr>
            <w:sz w:val="20"/>
          </w:rPr>
          <w:t>/06</w:t>
        </w:r>
        <w:r w:rsidR="005C2CB8" w:rsidRPr="000471D5">
          <w:rPr>
            <w:sz w:val="20"/>
          </w:rPr>
          <w:t>/</w:t>
        </w:r>
        <w:r w:rsidR="00527B9F">
          <w:rPr>
            <w:sz w:val="20"/>
          </w:rPr>
          <w:t>20</w:t>
        </w:r>
        <w:r w:rsidR="005C2CB8" w:rsidRPr="000471D5">
          <w:rPr>
            <w:sz w:val="20"/>
          </w:rPr>
          <w:t>16</w:t>
        </w:r>
        <w:r w:rsidR="005C2CB8">
          <w:rPr>
            <w:sz w:val="20"/>
          </w:rPr>
          <w:tab/>
        </w:r>
        <w:r w:rsidR="005C2CB8">
          <w:rPr>
            <w:sz w:val="20"/>
          </w:rPr>
          <w:tab/>
        </w:r>
        <w:r w:rsidR="005C2CB8">
          <w:rPr>
            <w:sz w:val="20"/>
          </w:rPr>
          <w:tab/>
        </w:r>
        <w:r w:rsidR="005C2CB8">
          <w:rPr>
            <w:sz w:val="20"/>
          </w:rPr>
          <w:tab/>
        </w:r>
        <w:r w:rsidR="005C2CB8">
          <w:rPr>
            <w:sz w:val="20"/>
          </w:rPr>
          <w:tab/>
        </w:r>
        <w:r w:rsidR="005C2CB8">
          <w:rPr>
            <w:sz w:val="20"/>
          </w:rPr>
          <w:tab/>
        </w:r>
        <w:r w:rsidR="005C2CB8">
          <w:rPr>
            <w:sz w:val="20"/>
          </w:rPr>
          <w:tab/>
        </w:r>
        <w:r w:rsidR="005C2CB8">
          <w:rPr>
            <w:sz w:val="20"/>
          </w:rPr>
          <w:tab/>
        </w:r>
        <w:r w:rsidR="005C2CB8">
          <w:rPr>
            <w:sz w:val="20"/>
          </w:rPr>
          <w:tab/>
        </w:r>
        <w:r w:rsidR="005C2CB8">
          <w:rPr>
            <w:sz w:val="20"/>
          </w:rPr>
          <w:tab/>
        </w:r>
        <w:r w:rsidR="005C2CB8">
          <w:rPr>
            <w:sz w:val="20"/>
          </w:rPr>
          <w:tab/>
        </w:r>
        <w:r w:rsidR="005C2CB8">
          <w:rPr>
            <w:sz w:val="20"/>
          </w:rPr>
          <w:tab/>
        </w:r>
        <w:r w:rsidR="0083189B" w:rsidRPr="000471D5">
          <w:rPr>
            <w:sz w:val="20"/>
          </w:rPr>
          <w:fldChar w:fldCharType="begin"/>
        </w:r>
        <w:r w:rsidR="005C2CB8" w:rsidRPr="000471D5">
          <w:rPr>
            <w:sz w:val="20"/>
          </w:rPr>
          <w:instrText xml:space="preserve"> PAGE   \* MERGEFORMAT </w:instrText>
        </w:r>
        <w:r w:rsidR="0083189B" w:rsidRPr="000471D5">
          <w:rPr>
            <w:sz w:val="20"/>
          </w:rPr>
          <w:fldChar w:fldCharType="separate"/>
        </w:r>
        <w:r w:rsidR="00AC2F26">
          <w:rPr>
            <w:noProof/>
            <w:sz w:val="20"/>
          </w:rPr>
          <w:t>15</w:t>
        </w:r>
        <w:r w:rsidR="0083189B" w:rsidRPr="000471D5">
          <w:rPr>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CB8" w:rsidRDefault="005C2CB8" w:rsidP="00A61C76">
      <w:r>
        <w:separator/>
      </w:r>
    </w:p>
  </w:footnote>
  <w:footnote w:type="continuationSeparator" w:id="0">
    <w:p w:rsidR="005C2CB8" w:rsidRDefault="005C2CB8" w:rsidP="00A61C76">
      <w:r>
        <w:continuationSeparator/>
      </w:r>
    </w:p>
  </w:footnote>
  <w:footnote w:id="1">
    <w:p w:rsidR="00DD2EE0" w:rsidRPr="003D2117" w:rsidRDefault="00DD2EE0" w:rsidP="00DD2EE0">
      <w:pPr>
        <w:pStyle w:val="FootnoteText"/>
        <w:rPr>
          <w:sz w:val="16"/>
          <w:szCs w:val="16"/>
        </w:rPr>
      </w:pPr>
      <w:r w:rsidRPr="00387505">
        <w:rPr>
          <w:rStyle w:val="FootnoteReference"/>
          <w:sz w:val="22"/>
          <w:szCs w:val="22"/>
        </w:rPr>
        <w:footnoteRef/>
      </w:r>
      <w:r w:rsidRPr="00387505">
        <w:rPr>
          <w:sz w:val="22"/>
          <w:szCs w:val="22"/>
        </w:rPr>
        <w:t xml:space="preserve"> </w:t>
      </w:r>
      <w:r w:rsidRPr="003D2117">
        <w:rPr>
          <w:rStyle w:val="Emphasis"/>
          <w:sz w:val="16"/>
          <w:szCs w:val="16"/>
        </w:rPr>
        <w:t>TIMSS</w:t>
      </w:r>
      <w:r w:rsidRPr="003D2117">
        <w:rPr>
          <w:rStyle w:val="st1"/>
          <w:sz w:val="16"/>
          <w:szCs w:val="16"/>
        </w:rPr>
        <w:t xml:space="preserve"> — Trends in International Mathematics and Science Study and </w:t>
      </w:r>
      <w:r w:rsidRPr="003D2117">
        <w:rPr>
          <w:rStyle w:val="Emphasis"/>
          <w:sz w:val="16"/>
          <w:szCs w:val="16"/>
        </w:rPr>
        <w:t>PIRLS</w:t>
      </w:r>
      <w:r w:rsidRPr="003D2117">
        <w:rPr>
          <w:rStyle w:val="st1"/>
          <w:sz w:val="16"/>
          <w:szCs w:val="16"/>
        </w:rPr>
        <w:t xml:space="preserve"> — Progress in International Reading Literacy Study.</w:t>
      </w:r>
    </w:p>
  </w:footnote>
  <w:footnote w:id="2">
    <w:p w:rsidR="00DD2EE0" w:rsidRPr="0054634D" w:rsidRDefault="00DD2EE0" w:rsidP="00DD2EE0">
      <w:pPr>
        <w:pStyle w:val="TRNormal"/>
        <w:ind w:left="0" w:firstLine="0"/>
        <w:jc w:val="both"/>
        <w:rPr>
          <w:sz w:val="18"/>
          <w:szCs w:val="18"/>
        </w:rPr>
      </w:pPr>
      <w:r>
        <w:rPr>
          <w:rStyle w:val="FootnoteReference"/>
        </w:rPr>
        <w:footnoteRef/>
      </w:r>
      <w:r>
        <w:t xml:space="preserve"> </w:t>
      </w:r>
      <w:r w:rsidRPr="0054634D">
        <w:rPr>
          <w:sz w:val="18"/>
          <w:szCs w:val="18"/>
        </w:rPr>
        <w:t>Findings to dat</w:t>
      </w:r>
      <w:r>
        <w:rPr>
          <w:sz w:val="18"/>
          <w:szCs w:val="18"/>
        </w:rPr>
        <w:t>e indicate that smaller schools</w:t>
      </w:r>
      <w:r w:rsidRPr="0054634D">
        <w:rPr>
          <w:sz w:val="18"/>
          <w:szCs w:val="18"/>
        </w:rPr>
        <w:t xml:space="preserve"> and recently opened new schools tend to favour handing over facilities management responsibilities, while larger, established schools see less value</w:t>
      </w:r>
      <w:r>
        <w:rPr>
          <w:sz w:val="18"/>
          <w:szCs w:val="18"/>
        </w:rPr>
        <w:t xml:space="preserve"> in it</w:t>
      </w:r>
      <w:r w:rsidRPr="0054634D">
        <w:rPr>
          <w:sz w:val="18"/>
          <w:szCs w:val="18"/>
        </w:rPr>
        <w:t>. Due to the coarseness of the current PMG calculation, it is also difficult to compare a market price with what the Ministry should be prepared to pay for property maintenance at a specific school.</w:t>
      </w:r>
    </w:p>
    <w:p w:rsidR="00DD2EE0" w:rsidRDefault="00DD2EE0" w:rsidP="00DD2EE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CB8" w:rsidRDefault="0087533B" w:rsidP="0087533B">
    <w:pPr>
      <w:pStyle w:val="Header"/>
      <w:rPr>
        <w:b/>
        <w:sz w:val="18"/>
        <w:szCs w:val="18"/>
      </w:rPr>
    </w:pPr>
    <w:r w:rsidRPr="0087533B">
      <w:rPr>
        <w:b/>
        <w:sz w:val="18"/>
        <w:szCs w:val="18"/>
        <w:lang w:val="en-AU"/>
      </w:rPr>
      <w:t xml:space="preserve">FOR ADVISORY GROUP </w:t>
    </w:r>
    <w:r w:rsidR="00692FF6">
      <w:rPr>
        <w:b/>
        <w:sz w:val="18"/>
        <w:szCs w:val="18"/>
        <w:lang w:val="en-AU"/>
      </w:rPr>
      <w:t>USE ONLY</w:t>
    </w:r>
    <w:r w:rsidRPr="0087533B">
      <w:rPr>
        <w:b/>
        <w:sz w:val="18"/>
        <w:szCs w:val="18"/>
        <w:lang w:val="en-AU"/>
      </w:rPr>
      <w:t xml:space="preserve"> </w:t>
    </w:r>
    <w:r w:rsidR="00692FF6">
      <w:rPr>
        <w:b/>
        <w:sz w:val="18"/>
        <w:szCs w:val="18"/>
        <w:lang w:val="en-AU"/>
      </w:rPr>
      <w:t xml:space="preserve">      </w:t>
    </w:r>
    <w:r w:rsidRPr="0087533B">
      <w:rPr>
        <w:b/>
        <w:sz w:val="18"/>
        <w:szCs w:val="18"/>
        <w:lang w:val="en-AU"/>
      </w:rPr>
      <w:t xml:space="preserve">                                                         </w:t>
    </w:r>
    <w:r w:rsidR="005C2CB8">
      <w:rPr>
        <w:b/>
        <w:sz w:val="18"/>
        <w:szCs w:val="18"/>
      </w:rPr>
      <w:t>DRAFT – NOT GOVERNMENT POLICY</w:t>
    </w:r>
  </w:p>
  <w:p w:rsidR="005C2CB8" w:rsidRDefault="005C2CB8" w:rsidP="00A35462">
    <w:pPr>
      <w:pStyle w:val="Header"/>
      <w:jc w:val="right"/>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1F65766"/>
    <w:multiLevelType w:val="hybridMultilevel"/>
    <w:tmpl w:val="78920CC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2866CDA"/>
    <w:multiLevelType w:val="hybridMultilevel"/>
    <w:tmpl w:val="60F646E4"/>
    <w:lvl w:ilvl="0" w:tplc="14090003">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03C42FD7"/>
    <w:multiLevelType w:val="hybridMultilevel"/>
    <w:tmpl w:val="166A4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4AB50BD"/>
    <w:multiLevelType w:val="hybridMultilevel"/>
    <w:tmpl w:val="4838E1B4"/>
    <w:lvl w:ilvl="0" w:tplc="14090019">
      <w:start w:val="1"/>
      <w:numFmt w:val="lowerLetter"/>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nsid w:val="04C94FF7"/>
    <w:multiLevelType w:val="hybridMultilevel"/>
    <w:tmpl w:val="D44C1C38"/>
    <w:lvl w:ilvl="0" w:tplc="14090019">
      <w:start w:val="1"/>
      <w:numFmt w:val="lowerLetter"/>
      <w:lvlText w:val="%1."/>
      <w:lvlJc w:val="left"/>
      <w:pPr>
        <w:ind w:left="1209" w:hanging="360"/>
      </w:pPr>
    </w:lvl>
    <w:lvl w:ilvl="1" w:tplc="14090003">
      <w:start w:val="1"/>
      <w:numFmt w:val="lowerRoman"/>
      <w:lvlText w:val="%2."/>
      <w:lvlJc w:val="right"/>
      <w:pPr>
        <w:ind w:left="1929" w:hanging="360"/>
      </w:pPr>
    </w:lvl>
    <w:lvl w:ilvl="2" w:tplc="14090005" w:tentative="1">
      <w:start w:val="1"/>
      <w:numFmt w:val="lowerRoman"/>
      <w:lvlText w:val="%3."/>
      <w:lvlJc w:val="right"/>
      <w:pPr>
        <w:ind w:left="2649" w:hanging="180"/>
      </w:pPr>
    </w:lvl>
    <w:lvl w:ilvl="3" w:tplc="14090001" w:tentative="1">
      <w:start w:val="1"/>
      <w:numFmt w:val="decimal"/>
      <w:lvlText w:val="%4."/>
      <w:lvlJc w:val="left"/>
      <w:pPr>
        <w:ind w:left="3369" w:hanging="360"/>
      </w:pPr>
    </w:lvl>
    <w:lvl w:ilvl="4" w:tplc="14090003" w:tentative="1">
      <w:start w:val="1"/>
      <w:numFmt w:val="lowerLetter"/>
      <w:lvlText w:val="%5."/>
      <w:lvlJc w:val="left"/>
      <w:pPr>
        <w:ind w:left="4089" w:hanging="360"/>
      </w:pPr>
    </w:lvl>
    <w:lvl w:ilvl="5" w:tplc="14090005" w:tentative="1">
      <w:start w:val="1"/>
      <w:numFmt w:val="lowerRoman"/>
      <w:lvlText w:val="%6."/>
      <w:lvlJc w:val="right"/>
      <w:pPr>
        <w:ind w:left="4809" w:hanging="180"/>
      </w:pPr>
    </w:lvl>
    <w:lvl w:ilvl="6" w:tplc="14090001" w:tentative="1">
      <w:start w:val="1"/>
      <w:numFmt w:val="decimal"/>
      <w:lvlText w:val="%7."/>
      <w:lvlJc w:val="left"/>
      <w:pPr>
        <w:ind w:left="5529" w:hanging="360"/>
      </w:pPr>
    </w:lvl>
    <w:lvl w:ilvl="7" w:tplc="14090003" w:tentative="1">
      <w:start w:val="1"/>
      <w:numFmt w:val="lowerLetter"/>
      <w:lvlText w:val="%8."/>
      <w:lvlJc w:val="left"/>
      <w:pPr>
        <w:ind w:left="6249" w:hanging="360"/>
      </w:pPr>
    </w:lvl>
    <w:lvl w:ilvl="8" w:tplc="14090005" w:tentative="1">
      <w:start w:val="1"/>
      <w:numFmt w:val="lowerRoman"/>
      <w:lvlText w:val="%9."/>
      <w:lvlJc w:val="right"/>
      <w:pPr>
        <w:ind w:left="6969" w:hanging="180"/>
      </w:pPr>
    </w:lvl>
  </w:abstractNum>
  <w:abstractNum w:abstractNumId="6">
    <w:nsid w:val="085C6F0C"/>
    <w:multiLevelType w:val="hybridMultilevel"/>
    <w:tmpl w:val="E87C846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CF36CE4"/>
    <w:multiLevelType w:val="hybridMultilevel"/>
    <w:tmpl w:val="ECAE7362"/>
    <w:lvl w:ilvl="0" w:tplc="EC5E68C6">
      <w:start w:val="1"/>
      <w:numFmt w:val="low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DBC1D31"/>
    <w:multiLevelType w:val="hybridMultilevel"/>
    <w:tmpl w:val="D44C1C38"/>
    <w:lvl w:ilvl="0" w:tplc="14090019">
      <w:start w:val="1"/>
      <w:numFmt w:val="lowerLetter"/>
      <w:lvlText w:val="%1."/>
      <w:lvlJc w:val="left"/>
      <w:pPr>
        <w:ind w:left="1209" w:hanging="360"/>
      </w:pPr>
    </w:lvl>
    <w:lvl w:ilvl="1" w:tplc="14090003">
      <w:start w:val="1"/>
      <w:numFmt w:val="lowerRoman"/>
      <w:lvlText w:val="%2."/>
      <w:lvlJc w:val="right"/>
      <w:pPr>
        <w:ind w:left="1929" w:hanging="360"/>
      </w:pPr>
    </w:lvl>
    <w:lvl w:ilvl="2" w:tplc="14090005" w:tentative="1">
      <w:start w:val="1"/>
      <w:numFmt w:val="lowerRoman"/>
      <w:lvlText w:val="%3."/>
      <w:lvlJc w:val="right"/>
      <w:pPr>
        <w:ind w:left="2649" w:hanging="180"/>
      </w:pPr>
    </w:lvl>
    <w:lvl w:ilvl="3" w:tplc="14090001" w:tentative="1">
      <w:start w:val="1"/>
      <w:numFmt w:val="decimal"/>
      <w:lvlText w:val="%4."/>
      <w:lvlJc w:val="left"/>
      <w:pPr>
        <w:ind w:left="3369" w:hanging="360"/>
      </w:pPr>
    </w:lvl>
    <w:lvl w:ilvl="4" w:tplc="14090003" w:tentative="1">
      <w:start w:val="1"/>
      <w:numFmt w:val="lowerLetter"/>
      <w:lvlText w:val="%5."/>
      <w:lvlJc w:val="left"/>
      <w:pPr>
        <w:ind w:left="4089" w:hanging="360"/>
      </w:pPr>
    </w:lvl>
    <w:lvl w:ilvl="5" w:tplc="14090005" w:tentative="1">
      <w:start w:val="1"/>
      <w:numFmt w:val="lowerRoman"/>
      <w:lvlText w:val="%6."/>
      <w:lvlJc w:val="right"/>
      <w:pPr>
        <w:ind w:left="4809" w:hanging="180"/>
      </w:pPr>
    </w:lvl>
    <w:lvl w:ilvl="6" w:tplc="14090001" w:tentative="1">
      <w:start w:val="1"/>
      <w:numFmt w:val="decimal"/>
      <w:lvlText w:val="%7."/>
      <w:lvlJc w:val="left"/>
      <w:pPr>
        <w:ind w:left="5529" w:hanging="360"/>
      </w:pPr>
    </w:lvl>
    <w:lvl w:ilvl="7" w:tplc="14090003" w:tentative="1">
      <w:start w:val="1"/>
      <w:numFmt w:val="lowerLetter"/>
      <w:lvlText w:val="%8."/>
      <w:lvlJc w:val="left"/>
      <w:pPr>
        <w:ind w:left="6249" w:hanging="360"/>
      </w:pPr>
    </w:lvl>
    <w:lvl w:ilvl="8" w:tplc="14090005" w:tentative="1">
      <w:start w:val="1"/>
      <w:numFmt w:val="lowerRoman"/>
      <w:lvlText w:val="%9."/>
      <w:lvlJc w:val="right"/>
      <w:pPr>
        <w:ind w:left="6969" w:hanging="180"/>
      </w:pPr>
    </w:lvl>
  </w:abstractNum>
  <w:abstractNum w:abstractNumId="10">
    <w:nsid w:val="15C679DF"/>
    <w:multiLevelType w:val="hybridMultilevel"/>
    <w:tmpl w:val="D5C452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5FF0AB9"/>
    <w:multiLevelType w:val="hybridMultilevel"/>
    <w:tmpl w:val="D44C1C38"/>
    <w:lvl w:ilvl="0" w:tplc="14090019">
      <w:start w:val="1"/>
      <w:numFmt w:val="lowerLetter"/>
      <w:lvlText w:val="%1."/>
      <w:lvlJc w:val="left"/>
      <w:pPr>
        <w:ind w:left="1209" w:hanging="360"/>
      </w:pPr>
    </w:lvl>
    <w:lvl w:ilvl="1" w:tplc="14090003">
      <w:start w:val="1"/>
      <w:numFmt w:val="lowerRoman"/>
      <w:lvlText w:val="%2."/>
      <w:lvlJc w:val="right"/>
      <w:pPr>
        <w:ind w:left="1929" w:hanging="360"/>
      </w:pPr>
    </w:lvl>
    <w:lvl w:ilvl="2" w:tplc="14090005" w:tentative="1">
      <w:start w:val="1"/>
      <w:numFmt w:val="lowerRoman"/>
      <w:lvlText w:val="%3."/>
      <w:lvlJc w:val="right"/>
      <w:pPr>
        <w:ind w:left="2649" w:hanging="180"/>
      </w:pPr>
    </w:lvl>
    <w:lvl w:ilvl="3" w:tplc="14090001" w:tentative="1">
      <w:start w:val="1"/>
      <w:numFmt w:val="decimal"/>
      <w:lvlText w:val="%4."/>
      <w:lvlJc w:val="left"/>
      <w:pPr>
        <w:ind w:left="3369" w:hanging="360"/>
      </w:pPr>
    </w:lvl>
    <w:lvl w:ilvl="4" w:tplc="14090003" w:tentative="1">
      <w:start w:val="1"/>
      <w:numFmt w:val="lowerLetter"/>
      <w:lvlText w:val="%5."/>
      <w:lvlJc w:val="left"/>
      <w:pPr>
        <w:ind w:left="4089" w:hanging="360"/>
      </w:pPr>
    </w:lvl>
    <w:lvl w:ilvl="5" w:tplc="14090005" w:tentative="1">
      <w:start w:val="1"/>
      <w:numFmt w:val="lowerRoman"/>
      <w:lvlText w:val="%6."/>
      <w:lvlJc w:val="right"/>
      <w:pPr>
        <w:ind w:left="4809" w:hanging="180"/>
      </w:pPr>
    </w:lvl>
    <w:lvl w:ilvl="6" w:tplc="14090001" w:tentative="1">
      <w:start w:val="1"/>
      <w:numFmt w:val="decimal"/>
      <w:lvlText w:val="%7."/>
      <w:lvlJc w:val="left"/>
      <w:pPr>
        <w:ind w:left="5529" w:hanging="360"/>
      </w:pPr>
    </w:lvl>
    <w:lvl w:ilvl="7" w:tplc="14090003" w:tentative="1">
      <w:start w:val="1"/>
      <w:numFmt w:val="lowerLetter"/>
      <w:lvlText w:val="%8."/>
      <w:lvlJc w:val="left"/>
      <w:pPr>
        <w:ind w:left="6249" w:hanging="360"/>
      </w:pPr>
    </w:lvl>
    <w:lvl w:ilvl="8" w:tplc="14090005" w:tentative="1">
      <w:start w:val="1"/>
      <w:numFmt w:val="lowerRoman"/>
      <w:lvlText w:val="%9."/>
      <w:lvlJc w:val="right"/>
      <w:pPr>
        <w:ind w:left="6969" w:hanging="180"/>
      </w:pPr>
    </w:lvl>
  </w:abstractNum>
  <w:abstractNum w:abstractNumId="12">
    <w:nsid w:val="173E590C"/>
    <w:multiLevelType w:val="hybridMultilevel"/>
    <w:tmpl w:val="02EC96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A7C4EDF"/>
    <w:multiLevelType w:val="hybridMultilevel"/>
    <w:tmpl w:val="F9BEA2F6"/>
    <w:lvl w:ilvl="0" w:tplc="14090003">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F8723B3"/>
    <w:multiLevelType w:val="hybridMultilevel"/>
    <w:tmpl w:val="6CCC31F2"/>
    <w:lvl w:ilvl="0" w:tplc="210877D8">
      <w:start w:val="1"/>
      <w:numFmt w:val="lowerLetter"/>
      <w:lvlText w:val="%1."/>
      <w:lvlJc w:val="left"/>
      <w:pPr>
        <w:tabs>
          <w:tab w:val="num" w:pos="2010"/>
        </w:tabs>
        <w:ind w:left="201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18B77E0"/>
    <w:multiLevelType w:val="hybridMultilevel"/>
    <w:tmpl w:val="57442AAC"/>
    <w:lvl w:ilvl="0" w:tplc="6BD086C6">
      <w:start w:val="1"/>
      <w:numFmt w:val="bullet"/>
      <w:lvlText w:val="•"/>
      <w:lvlJc w:val="left"/>
      <w:pPr>
        <w:tabs>
          <w:tab w:val="num" w:pos="720"/>
        </w:tabs>
        <w:ind w:left="720" w:hanging="360"/>
      </w:pPr>
      <w:rPr>
        <w:rFonts w:ascii="Arial" w:hAnsi="Arial" w:hint="default"/>
      </w:rPr>
    </w:lvl>
    <w:lvl w:ilvl="1" w:tplc="D30E7E36" w:tentative="1">
      <w:start w:val="1"/>
      <w:numFmt w:val="bullet"/>
      <w:lvlText w:val="•"/>
      <w:lvlJc w:val="left"/>
      <w:pPr>
        <w:tabs>
          <w:tab w:val="num" w:pos="1440"/>
        </w:tabs>
        <w:ind w:left="1440" w:hanging="360"/>
      </w:pPr>
      <w:rPr>
        <w:rFonts w:ascii="Arial" w:hAnsi="Arial" w:hint="default"/>
      </w:rPr>
    </w:lvl>
    <w:lvl w:ilvl="2" w:tplc="42D42E8C" w:tentative="1">
      <w:start w:val="1"/>
      <w:numFmt w:val="bullet"/>
      <w:lvlText w:val="•"/>
      <w:lvlJc w:val="left"/>
      <w:pPr>
        <w:tabs>
          <w:tab w:val="num" w:pos="2160"/>
        </w:tabs>
        <w:ind w:left="2160" w:hanging="360"/>
      </w:pPr>
      <w:rPr>
        <w:rFonts w:ascii="Arial" w:hAnsi="Arial" w:hint="default"/>
      </w:rPr>
    </w:lvl>
    <w:lvl w:ilvl="3" w:tplc="1C36BCB6" w:tentative="1">
      <w:start w:val="1"/>
      <w:numFmt w:val="bullet"/>
      <w:lvlText w:val="•"/>
      <w:lvlJc w:val="left"/>
      <w:pPr>
        <w:tabs>
          <w:tab w:val="num" w:pos="2880"/>
        </w:tabs>
        <w:ind w:left="2880" w:hanging="360"/>
      </w:pPr>
      <w:rPr>
        <w:rFonts w:ascii="Arial" w:hAnsi="Arial" w:hint="default"/>
      </w:rPr>
    </w:lvl>
    <w:lvl w:ilvl="4" w:tplc="42B6988A" w:tentative="1">
      <w:start w:val="1"/>
      <w:numFmt w:val="bullet"/>
      <w:lvlText w:val="•"/>
      <w:lvlJc w:val="left"/>
      <w:pPr>
        <w:tabs>
          <w:tab w:val="num" w:pos="3600"/>
        </w:tabs>
        <w:ind w:left="3600" w:hanging="360"/>
      </w:pPr>
      <w:rPr>
        <w:rFonts w:ascii="Arial" w:hAnsi="Arial" w:hint="default"/>
      </w:rPr>
    </w:lvl>
    <w:lvl w:ilvl="5" w:tplc="95D6CEDC" w:tentative="1">
      <w:start w:val="1"/>
      <w:numFmt w:val="bullet"/>
      <w:lvlText w:val="•"/>
      <w:lvlJc w:val="left"/>
      <w:pPr>
        <w:tabs>
          <w:tab w:val="num" w:pos="4320"/>
        </w:tabs>
        <w:ind w:left="4320" w:hanging="360"/>
      </w:pPr>
      <w:rPr>
        <w:rFonts w:ascii="Arial" w:hAnsi="Arial" w:hint="default"/>
      </w:rPr>
    </w:lvl>
    <w:lvl w:ilvl="6" w:tplc="7CE86DB0" w:tentative="1">
      <w:start w:val="1"/>
      <w:numFmt w:val="bullet"/>
      <w:lvlText w:val="•"/>
      <w:lvlJc w:val="left"/>
      <w:pPr>
        <w:tabs>
          <w:tab w:val="num" w:pos="5040"/>
        </w:tabs>
        <w:ind w:left="5040" w:hanging="360"/>
      </w:pPr>
      <w:rPr>
        <w:rFonts w:ascii="Arial" w:hAnsi="Arial" w:hint="default"/>
      </w:rPr>
    </w:lvl>
    <w:lvl w:ilvl="7" w:tplc="8288299E" w:tentative="1">
      <w:start w:val="1"/>
      <w:numFmt w:val="bullet"/>
      <w:lvlText w:val="•"/>
      <w:lvlJc w:val="left"/>
      <w:pPr>
        <w:tabs>
          <w:tab w:val="num" w:pos="5760"/>
        </w:tabs>
        <w:ind w:left="5760" w:hanging="360"/>
      </w:pPr>
      <w:rPr>
        <w:rFonts w:ascii="Arial" w:hAnsi="Arial" w:hint="default"/>
      </w:rPr>
    </w:lvl>
    <w:lvl w:ilvl="8" w:tplc="05667408" w:tentative="1">
      <w:start w:val="1"/>
      <w:numFmt w:val="bullet"/>
      <w:lvlText w:val="•"/>
      <w:lvlJc w:val="left"/>
      <w:pPr>
        <w:tabs>
          <w:tab w:val="num" w:pos="6480"/>
        </w:tabs>
        <w:ind w:left="6480" w:hanging="360"/>
      </w:pPr>
      <w:rPr>
        <w:rFonts w:ascii="Arial" w:hAnsi="Arial" w:hint="default"/>
      </w:rPr>
    </w:lvl>
  </w:abstractNum>
  <w:abstractNum w:abstractNumId="16">
    <w:nsid w:val="24174C32"/>
    <w:multiLevelType w:val="hybridMultilevel"/>
    <w:tmpl w:val="4788B4FA"/>
    <w:lvl w:ilvl="0" w:tplc="B2A61C6E">
      <w:start w:val="1"/>
      <w:numFmt w:val="decimal"/>
      <w:lvlText w:val="%1."/>
      <w:lvlJc w:val="left"/>
      <w:pPr>
        <w:tabs>
          <w:tab w:val="num" w:pos="1650"/>
        </w:tabs>
        <w:ind w:left="1650" w:hanging="360"/>
      </w:pPr>
      <w:rPr>
        <w:rFonts w:hint="default"/>
        <w:b w:val="0"/>
        <w:i w:val="0"/>
      </w:rPr>
    </w:lvl>
    <w:lvl w:ilvl="1" w:tplc="210877D8">
      <w:start w:val="1"/>
      <w:numFmt w:val="lowerLetter"/>
      <w:lvlText w:val="%2."/>
      <w:lvlJc w:val="left"/>
      <w:pPr>
        <w:tabs>
          <w:tab w:val="num" w:pos="2010"/>
        </w:tabs>
        <w:ind w:left="2010" w:hanging="360"/>
      </w:pPr>
    </w:lvl>
    <w:lvl w:ilvl="2" w:tplc="078E1E42">
      <w:start w:val="1"/>
      <w:numFmt w:val="lowerRoman"/>
      <w:lvlText w:val="%3."/>
      <w:lvlJc w:val="right"/>
      <w:pPr>
        <w:tabs>
          <w:tab w:val="num" w:pos="2730"/>
        </w:tabs>
        <w:ind w:left="2730" w:hanging="180"/>
      </w:pPr>
    </w:lvl>
    <w:lvl w:ilvl="3" w:tplc="0B369A86">
      <w:start w:val="1"/>
      <w:numFmt w:val="decimal"/>
      <w:lvlText w:val="%4."/>
      <w:lvlJc w:val="left"/>
      <w:pPr>
        <w:tabs>
          <w:tab w:val="num" w:pos="3450"/>
        </w:tabs>
        <w:ind w:left="3450" w:hanging="360"/>
      </w:pPr>
    </w:lvl>
    <w:lvl w:ilvl="4" w:tplc="B5286FCE" w:tentative="1">
      <w:start w:val="1"/>
      <w:numFmt w:val="lowerLetter"/>
      <w:lvlText w:val="%5."/>
      <w:lvlJc w:val="left"/>
      <w:pPr>
        <w:tabs>
          <w:tab w:val="num" w:pos="4170"/>
        </w:tabs>
        <w:ind w:left="4170" w:hanging="360"/>
      </w:pPr>
    </w:lvl>
    <w:lvl w:ilvl="5" w:tplc="9FD64D40" w:tentative="1">
      <w:start w:val="1"/>
      <w:numFmt w:val="lowerRoman"/>
      <w:lvlText w:val="%6."/>
      <w:lvlJc w:val="right"/>
      <w:pPr>
        <w:tabs>
          <w:tab w:val="num" w:pos="4890"/>
        </w:tabs>
        <w:ind w:left="4890" w:hanging="180"/>
      </w:pPr>
    </w:lvl>
    <w:lvl w:ilvl="6" w:tplc="E2EC1814" w:tentative="1">
      <w:start w:val="1"/>
      <w:numFmt w:val="decimal"/>
      <w:lvlText w:val="%7."/>
      <w:lvlJc w:val="left"/>
      <w:pPr>
        <w:tabs>
          <w:tab w:val="num" w:pos="5610"/>
        </w:tabs>
        <w:ind w:left="5610" w:hanging="360"/>
      </w:pPr>
    </w:lvl>
    <w:lvl w:ilvl="7" w:tplc="2784589E" w:tentative="1">
      <w:start w:val="1"/>
      <w:numFmt w:val="lowerLetter"/>
      <w:lvlText w:val="%8."/>
      <w:lvlJc w:val="left"/>
      <w:pPr>
        <w:tabs>
          <w:tab w:val="num" w:pos="6330"/>
        </w:tabs>
        <w:ind w:left="6330" w:hanging="360"/>
      </w:pPr>
    </w:lvl>
    <w:lvl w:ilvl="8" w:tplc="2520AA1E" w:tentative="1">
      <w:start w:val="1"/>
      <w:numFmt w:val="lowerRoman"/>
      <w:lvlText w:val="%9."/>
      <w:lvlJc w:val="right"/>
      <w:pPr>
        <w:tabs>
          <w:tab w:val="num" w:pos="7050"/>
        </w:tabs>
        <w:ind w:left="7050" w:hanging="180"/>
      </w:pPr>
    </w:lvl>
  </w:abstractNum>
  <w:abstractNum w:abstractNumId="17">
    <w:nsid w:val="24FD3A60"/>
    <w:multiLevelType w:val="hybridMultilevel"/>
    <w:tmpl w:val="448E90A4"/>
    <w:lvl w:ilvl="0" w:tplc="14090001">
      <w:start w:val="1"/>
      <w:numFmt w:val="bullet"/>
      <w:lvlText w:val=""/>
      <w:lvlJc w:val="left"/>
      <w:pPr>
        <w:ind w:left="720" w:hanging="360"/>
      </w:pPr>
      <w:rPr>
        <w:rFonts w:ascii="Symbol" w:hAnsi="Symbol" w:hint="default"/>
        <w:i w:val="0"/>
      </w:rPr>
    </w:lvl>
    <w:lvl w:ilvl="1" w:tplc="0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25A31E01"/>
    <w:multiLevelType w:val="hybridMultilevel"/>
    <w:tmpl w:val="849E01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A3435C0"/>
    <w:multiLevelType w:val="hybridMultilevel"/>
    <w:tmpl w:val="677201E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2DF837B7"/>
    <w:multiLevelType w:val="hybridMultilevel"/>
    <w:tmpl w:val="B124558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10969D8"/>
    <w:multiLevelType w:val="hybridMultilevel"/>
    <w:tmpl w:val="4788B4FA"/>
    <w:lvl w:ilvl="0" w:tplc="7CCC2CEE">
      <w:start w:val="1"/>
      <w:numFmt w:val="decimal"/>
      <w:lvlText w:val="%1."/>
      <w:lvlJc w:val="left"/>
      <w:pPr>
        <w:tabs>
          <w:tab w:val="num" w:pos="1650"/>
        </w:tabs>
        <w:ind w:left="1650" w:hanging="360"/>
      </w:pPr>
      <w:rPr>
        <w:rFonts w:hint="default"/>
        <w:b w:val="0"/>
        <w:i w:val="0"/>
      </w:rPr>
    </w:lvl>
    <w:lvl w:ilvl="1" w:tplc="14090019">
      <w:start w:val="1"/>
      <w:numFmt w:val="lowerLetter"/>
      <w:lvlText w:val="%2."/>
      <w:lvlJc w:val="left"/>
      <w:pPr>
        <w:tabs>
          <w:tab w:val="num" w:pos="2010"/>
        </w:tabs>
        <w:ind w:left="2010" w:hanging="360"/>
      </w:pPr>
    </w:lvl>
    <w:lvl w:ilvl="2" w:tplc="1409001B">
      <w:start w:val="1"/>
      <w:numFmt w:val="lowerRoman"/>
      <w:lvlText w:val="%3."/>
      <w:lvlJc w:val="right"/>
      <w:pPr>
        <w:tabs>
          <w:tab w:val="num" w:pos="2730"/>
        </w:tabs>
        <w:ind w:left="2730" w:hanging="180"/>
      </w:pPr>
    </w:lvl>
    <w:lvl w:ilvl="3" w:tplc="1409000F">
      <w:start w:val="1"/>
      <w:numFmt w:val="decimal"/>
      <w:lvlText w:val="%4."/>
      <w:lvlJc w:val="left"/>
      <w:pPr>
        <w:tabs>
          <w:tab w:val="num" w:pos="3450"/>
        </w:tabs>
        <w:ind w:left="3450" w:hanging="360"/>
      </w:pPr>
    </w:lvl>
    <w:lvl w:ilvl="4" w:tplc="14090019" w:tentative="1">
      <w:start w:val="1"/>
      <w:numFmt w:val="lowerLetter"/>
      <w:lvlText w:val="%5."/>
      <w:lvlJc w:val="left"/>
      <w:pPr>
        <w:tabs>
          <w:tab w:val="num" w:pos="4170"/>
        </w:tabs>
        <w:ind w:left="4170" w:hanging="360"/>
      </w:pPr>
    </w:lvl>
    <w:lvl w:ilvl="5" w:tplc="1409001B" w:tentative="1">
      <w:start w:val="1"/>
      <w:numFmt w:val="lowerRoman"/>
      <w:lvlText w:val="%6."/>
      <w:lvlJc w:val="right"/>
      <w:pPr>
        <w:tabs>
          <w:tab w:val="num" w:pos="4890"/>
        </w:tabs>
        <w:ind w:left="4890" w:hanging="180"/>
      </w:pPr>
    </w:lvl>
    <w:lvl w:ilvl="6" w:tplc="1409000F" w:tentative="1">
      <w:start w:val="1"/>
      <w:numFmt w:val="decimal"/>
      <w:lvlText w:val="%7."/>
      <w:lvlJc w:val="left"/>
      <w:pPr>
        <w:tabs>
          <w:tab w:val="num" w:pos="5610"/>
        </w:tabs>
        <w:ind w:left="5610" w:hanging="360"/>
      </w:pPr>
    </w:lvl>
    <w:lvl w:ilvl="7" w:tplc="14090019" w:tentative="1">
      <w:start w:val="1"/>
      <w:numFmt w:val="lowerLetter"/>
      <w:lvlText w:val="%8."/>
      <w:lvlJc w:val="left"/>
      <w:pPr>
        <w:tabs>
          <w:tab w:val="num" w:pos="6330"/>
        </w:tabs>
        <w:ind w:left="6330" w:hanging="360"/>
      </w:pPr>
    </w:lvl>
    <w:lvl w:ilvl="8" w:tplc="1409001B" w:tentative="1">
      <w:start w:val="1"/>
      <w:numFmt w:val="lowerRoman"/>
      <w:lvlText w:val="%9."/>
      <w:lvlJc w:val="right"/>
      <w:pPr>
        <w:tabs>
          <w:tab w:val="num" w:pos="7050"/>
        </w:tabs>
        <w:ind w:left="7050" w:hanging="180"/>
      </w:pPr>
    </w:lvl>
  </w:abstractNum>
  <w:abstractNum w:abstractNumId="22">
    <w:nsid w:val="332D0047"/>
    <w:multiLevelType w:val="hybridMultilevel"/>
    <w:tmpl w:val="4788B4FA"/>
    <w:lvl w:ilvl="0" w:tplc="4A96BB98">
      <w:start w:val="1"/>
      <w:numFmt w:val="decimal"/>
      <w:lvlText w:val="%1."/>
      <w:lvlJc w:val="left"/>
      <w:pPr>
        <w:tabs>
          <w:tab w:val="num" w:pos="1650"/>
        </w:tabs>
        <w:ind w:left="1650" w:hanging="360"/>
      </w:pPr>
      <w:rPr>
        <w:rFonts w:hint="default"/>
        <w:b w:val="0"/>
        <w:i w:val="0"/>
      </w:rPr>
    </w:lvl>
    <w:lvl w:ilvl="1" w:tplc="14090019">
      <w:start w:val="1"/>
      <w:numFmt w:val="lowerLetter"/>
      <w:lvlText w:val="%2."/>
      <w:lvlJc w:val="left"/>
      <w:pPr>
        <w:tabs>
          <w:tab w:val="num" w:pos="2010"/>
        </w:tabs>
        <w:ind w:left="2010" w:hanging="360"/>
      </w:pPr>
    </w:lvl>
    <w:lvl w:ilvl="2" w:tplc="1409001B">
      <w:start w:val="1"/>
      <w:numFmt w:val="lowerRoman"/>
      <w:lvlText w:val="%3."/>
      <w:lvlJc w:val="right"/>
      <w:pPr>
        <w:tabs>
          <w:tab w:val="num" w:pos="2730"/>
        </w:tabs>
        <w:ind w:left="2730" w:hanging="180"/>
      </w:pPr>
    </w:lvl>
    <w:lvl w:ilvl="3" w:tplc="1409000F">
      <w:start w:val="1"/>
      <w:numFmt w:val="decimal"/>
      <w:lvlText w:val="%4."/>
      <w:lvlJc w:val="left"/>
      <w:pPr>
        <w:tabs>
          <w:tab w:val="num" w:pos="3450"/>
        </w:tabs>
        <w:ind w:left="3450" w:hanging="360"/>
      </w:pPr>
    </w:lvl>
    <w:lvl w:ilvl="4" w:tplc="14090019" w:tentative="1">
      <w:start w:val="1"/>
      <w:numFmt w:val="lowerLetter"/>
      <w:lvlText w:val="%5."/>
      <w:lvlJc w:val="left"/>
      <w:pPr>
        <w:tabs>
          <w:tab w:val="num" w:pos="4170"/>
        </w:tabs>
        <w:ind w:left="4170" w:hanging="360"/>
      </w:pPr>
    </w:lvl>
    <w:lvl w:ilvl="5" w:tplc="1409001B" w:tentative="1">
      <w:start w:val="1"/>
      <w:numFmt w:val="lowerRoman"/>
      <w:lvlText w:val="%6."/>
      <w:lvlJc w:val="right"/>
      <w:pPr>
        <w:tabs>
          <w:tab w:val="num" w:pos="4890"/>
        </w:tabs>
        <w:ind w:left="4890" w:hanging="180"/>
      </w:pPr>
    </w:lvl>
    <w:lvl w:ilvl="6" w:tplc="1409000F" w:tentative="1">
      <w:start w:val="1"/>
      <w:numFmt w:val="decimal"/>
      <w:lvlText w:val="%7."/>
      <w:lvlJc w:val="left"/>
      <w:pPr>
        <w:tabs>
          <w:tab w:val="num" w:pos="5610"/>
        </w:tabs>
        <w:ind w:left="5610" w:hanging="360"/>
      </w:pPr>
    </w:lvl>
    <w:lvl w:ilvl="7" w:tplc="14090019" w:tentative="1">
      <w:start w:val="1"/>
      <w:numFmt w:val="lowerLetter"/>
      <w:lvlText w:val="%8."/>
      <w:lvlJc w:val="left"/>
      <w:pPr>
        <w:tabs>
          <w:tab w:val="num" w:pos="6330"/>
        </w:tabs>
        <w:ind w:left="6330" w:hanging="360"/>
      </w:pPr>
    </w:lvl>
    <w:lvl w:ilvl="8" w:tplc="1409001B" w:tentative="1">
      <w:start w:val="1"/>
      <w:numFmt w:val="lowerRoman"/>
      <w:lvlText w:val="%9."/>
      <w:lvlJc w:val="right"/>
      <w:pPr>
        <w:tabs>
          <w:tab w:val="num" w:pos="7050"/>
        </w:tabs>
        <w:ind w:left="7050" w:hanging="180"/>
      </w:pPr>
    </w:lvl>
  </w:abstractNum>
  <w:abstractNum w:abstractNumId="23">
    <w:nsid w:val="34C118BD"/>
    <w:multiLevelType w:val="hybridMultilevel"/>
    <w:tmpl w:val="6A4E96E8"/>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4">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6">
    <w:nsid w:val="418A1B3C"/>
    <w:multiLevelType w:val="hybridMultilevel"/>
    <w:tmpl w:val="E4CE373A"/>
    <w:lvl w:ilvl="0" w:tplc="4A96BB98">
      <w:start w:val="1"/>
      <w:numFmt w:val="lowerLetter"/>
      <w:lvlText w:val="%1."/>
      <w:lvlJc w:val="left"/>
      <w:pPr>
        <w:ind w:left="1080" w:hanging="360"/>
      </w:pPr>
      <w:rPr>
        <w:rFonts w:hint="default"/>
        <w:b w:val="0"/>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46DF2730"/>
    <w:multiLevelType w:val="hybridMultilevel"/>
    <w:tmpl w:val="147E73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AC64174"/>
    <w:multiLevelType w:val="hybridMultilevel"/>
    <w:tmpl w:val="D5C452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D4E6A56"/>
    <w:multiLevelType w:val="hybridMultilevel"/>
    <w:tmpl w:val="4788B4FA"/>
    <w:lvl w:ilvl="0" w:tplc="62B05242">
      <w:start w:val="1"/>
      <w:numFmt w:val="decimal"/>
      <w:lvlText w:val="%1."/>
      <w:lvlJc w:val="left"/>
      <w:pPr>
        <w:tabs>
          <w:tab w:val="num" w:pos="1650"/>
        </w:tabs>
        <w:ind w:left="1650" w:hanging="360"/>
      </w:pPr>
      <w:rPr>
        <w:rFonts w:hint="default"/>
        <w:b w:val="0"/>
        <w:i w:val="0"/>
      </w:rPr>
    </w:lvl>
    <w:lvl w:ilvl="1" w:tplc="14090019">
      <w:start w:val="1"/>
      <w:numFmt w:val="lowerLetter"/>
      <w:lvlText w:val="%2."/>
      <w:lvlJc w:val="left"/>
      <w:pPr>
        <w:tabs>
          <w:tab w:val="num" w:pos="786"/>
        </w:tabs>
        <w:ind w:left="786" w:hanging="360"/>
      </w:pPr>
    </w:lvl>
    <w:lvl w:ilvl="2" w:tplc="1409001B">
      <w:start w:val="1"/>
      <w:numFmt w:val="lowerRoman"/>
      <w:lvlText w:val="%3."/>
      <w:lvlJc w:val="right"/>
      <w:pPr>
        <w:tabs>
          <w:tab w:val="num" w:pos="2730"/>
        </w:tabs>
        <w:ind w:left="2730" w:hanging="180"/>
      </w:pPr>
    </w:lvl>
    <w:lvl w:ilvl="3" w:tplc="1409000F">
      <w:start w:val="1"/>
      <w:numFmt w:val="decimal"/>
      <w:lvlText w:val="%4."/>
      <w:lvlJc w:val="left"/>
      <w:pPr>
        <w:tabs>
          <w:tab w:val="num" w:pos="3450"/>
        </w:tabs>
        <w:ind w:left="3450" w:hanging="360"/>
      </w:pPr>
    </w:lvl>
    <w:lvl w:ilvl="4" w:tplc="14090019" w:tentative="1">
      <w:start w:val="1"/>
      <w:numFmt w:val="lowerLetter"/>
      <w:lvlText w:val="%5."/>
      <w:lvlJc w:val="left"/>
      <w:pPr>
        <w:tabs>
          <w:tab w:val="num" w:pos="4170"/>
        </w:tabs>
        <w:ind w:left="4170" w:hanging="360"/>
      </w:pPr>
    </w:lvl>
    <w:lvl w:ilvl="5" w:tplc="1409001B" w:tentative="1">
      <w:start w:val="1"/>
      <w:numFmt w:val="lowerRoman"/>
      <w:lvlText w:val="%6."/>
      <w:lvlJc w:val="right"/>
      <w:pPr>
        <w:tabs>
          <w:tab w:val="num" w:pos="4890"/>
        </w:tabs>
        <w:ind w:left="4890" w:hanging="180"/>
      </w:pPr>
    </w:lvl>
    <w:lvl w:ilvl="6" w:tplc="1409000F" w:tentative="1">
      <w:start w:val="1"/>
      <w:numFmt w:val="decimal"/>
      <w:lvlText w:val="%7."/>
      <w:lvlJc w:val="left"/>
      <w:pPr>
        <w:tabs>
          <w:tab w:val="num" w:pos="5610"/>
        </w:tabs>
        <w:ind w:left="5610" w:hanging="360"/>
      </w:pPr>
    </w:lvl>
    <w:lvl w:ilvl="7" w:tplc="14090019" w:tentative="1">
      <w:start w:val="1"/>
      <w:numFmt w:val="lowerLetter"/>
      <w:lvlText w:val="%8."/>
      <w:lvlJc w:val="left"/>
      <w:pPr>
        <w:tabs>
          <w:tab w:val="num" w:pos="6330"/>
        </w:tabs>
        <w:ind w:left="6330" w:hanging="360"/>
      </w:pPr>
    </w:lvl>
    <w:lvl w:ilvl="8" w:tplc="1409001B" w:tentative="1">
      <w:start w:val="1"/>
      <w:numFmt w:val="lowerRoman"/>
      <w:lvlText w:val="%9."/>
      <w:lvlJc w:val="right"/>
      <w:pPr>
        <w:tabs>
          <w:tab w:val="num" w:pos="7050"/>
        </w:tabs>
        <w:ind w:left="7050" w:hanging="180"/>
      </w:pPr>
    </w:lvl>
  </w:abstractNum>
  <w:abstractNum w:abstractNumId="30">
    <w:nsid w:val="4E997CF9"/>
    <w:multiLevelType w:val="hybridMultilevel"/>
    <w:tmpl w:val="147E73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50C8513F"/>
    <w:multiLevelType w:val="hybridMultilevel"/>
    <w:tmpl w:val="482A0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2332290"/>
    <w:multiLevelType w:val="hybridMultilevel"/>
    <w:tmpl w:val="D17AF48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534C5240"/>
    <w:multiLevelType w:val="hybridMultilevel"/>
    <w:tmpl w:val="02EC96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nsid w:val="5E0241FC"/>
    <w:multiLevelType w:val="hybridMultilevel"/>
    <w:tmpl w:val="3D846D0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36">
    <w:nsid w:val="63D1148F"/>
    <w:multiLevelType w:val="hybridMultilevel"/>
    <w:tmpl w:val="E3967E2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8862D5E"/>
    <w:multiLevelType w:val="hybridMultilevel"/>
    <w:tmpl w:val="336AC7C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BBB25D5"/>
    <w:multiLevelType w:val="hybridMultilevel"/>
    <w:tmpl w:val="62DAE4D4"/>
    <w:lvl w:ilvl="0" w:tplc="935EF70A">
      <w:start w:val="1"/>
      <w:numFmt w:val="decimal"/>
      <w:lvlText w:val="%1."/>
      <w:lvlJc w:val="left"/>
      <w:pPr>
        <w:tabs>
          <w:tab w:val="num" w:pos="567"/>
        </w:tabs>
        <w:ind w:left="567" w:hanging="567"/>
      </w:pPr>
      <w:rPr>
        <w:rFonts w:hint="default"/>
        <w:b w:val="0"/>
        <w:i w:val="0"/>
      </w:rPr>
    </w:lvl>
    <w:lvl w:ilvl="1" w:tplc="14090001">
      <w:start w:val="1"/>
      <w:numFmt w:val="bullet"/>
      <w:lvlText w:val=""/>
      <w:lvlJc w:val="left"/>
      <w:pPr>
        <w:tabs>
          <w:tab w:val="num" w:pos="2010"/>
        </w:tabs>
        <w:ind w:left="2010" w:hanging="360"/>
      </w:pPr>
      <w:rPr>
        <w:rFonts w:ascii="Symbol" w:hAnsi="Symbol" w:hint="default"/>
      </w:rPr>
    </w:lvl>
    <w:lvl w:ilvl="2" w:tplc="14090005">
      <w:start w:val="1"/>
      <w:numFmt w:val="lowerRoman"/>
      <w:lvlText w:val="%3."/>
      <w:lvlJc w:val="right"/>
      <w:pPr>
        <w:tabs>
          <w:tab w:val="num" w:pos="2730"/>
        </w:tabs>
        <w:ind w:left="2730" w:hanging="180"/>
      </w:pPr>
    </w:lvl>
    <w:lvl w:ilvl="3" w:tplc="14090001">
      <w:start w:val="1"/>
      <w:numFmt w:val="decimal"/>
      <w:lvlText w:val="%4."/>
      <w:lvlJc w:val="left"/>
      <w:pPr>
        <w:tabs>
          <w:tab w:val="num" w:pos="3450"/>
        </w:tabs>
        <w:ind w:left="3450" w:hanging="360"/>
      </w:pPr>
    </w:lvl>
    <w:lvl w:ilvl="4" w:tplc="14090003" w:tentative="1">
      <w:start w:val="1"/>
      <w:numFmt w:val="lowerLetter"/>
      <w:lvlText w:val="%5."/>
      <w:lvlJc w:val="left"/>
      <w:pPr>
        <w:tabs>
          <w:tab w:val="num" w:pos="4170"/>
        </w:tabs>
        <w:ind w:left="4170" w:hanging="360"/>
      </w:pPr>
    </w:lvl>
    <w:lvl w:ilvl="5" w:tplc="14090005" w:tentative="1">
      <w:start w:val="1"/>
      <w:numFmt w:val="lowerRoman"/>
      <w:lvlText w:val="%6."/>
      <w:lvlJc w:val="right"/>
      <w:pPr>
        <w:tabs>
          <w:tab w:val="num" w:pos="4890"/>
        </w:tabs>
        <w:ind w:left="4890" w:hanging="180"/>
      </w:pPr>
    </w:lvl>
    <w:lvl w:ilvl="6" w:tplc="14090001" w:tentative="1">
      <w:start w:val="1"/>
      <w:numFmt w:val="decimal"/>
      <w:lvlText w:val="%7."/>
      <w:lvlJc w:val="left"/>
      <w:pPr>
        <w:tabs>
          <w:tab w:val="num" w:pos="5610"/>
        </w:tabs>
        <w:ind w:left="5610" w:hanging="360"/>
      </w:pPr>
    </w:lvl>
    <w:lvl w:ilvl="7" w:tplc="14090003" w:tentative="1">
      <w:start w:val="1"/>
      <w:numFmt w:val="lowerLetter"/>
      <w:lvlText w:val="%8."/>
      <w:lvlJc w:val="left"/>
      <w:pPr>
        <w:tabs>
          <w:tab w:val="num" w:pos="6330"/>
        </w:tabs>
        <w:ind w:left="6330" w:hanging="360"/>
      </w:pPr>
    </w:lvl>
    <w:lvl w:ilvl="8" w:tplc="14090005" w:tentative="1">
      <w:start w:val="1"/>
      <w:numFmt w:val="lowerRoman"/>
      <w:lvlText w:val="%9."/>
      <w:lvlJc w:val="right"/>
      <w:pPr>
        <w:tabs>
          <w:tab w:val="num" w:pos="7050"/>
        </w:tabs>
        <w:ind w:left="7050" w:hanging="180"/>
      </w:pPr>
    </w:lvl>
  </w:abstractNum>
  <w:abstractNum w:abstractNumId="39">
    <w:nsid w:val="6E481526"/>
    <w:multiLevelType w:val="hybridMultilevel"/>
    <w:tmpl w:val="63BEEA8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71D6B87"/>
    <w:multiLevelType w:val="hybridMultilevel"/>
    <w:tmpl w:val="D9F4E6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B0661F0"/>
    <w:multiLevelType w:val="hybridMultilevel"/>
    <w:tmpl w:val="D44C1C38"/>
    <w:lvl w:ilvl="0" w:tplc="14090019">
      <w:start w:val="1"/>
      <w:numFmt w:val="lowerLetter"/>
      <w:lvlText w:val="%1."/>
      <w:lvlJc w:val="left"/>
      <w:pPr>
        <w:ind w:left="1209" w:hanging="360"/>
      </w:pPr>
    </w:lvl>
    <w:lvl w:ilvl="1" w:tplc="14090003">
      <w:start w:val="1"/>
      <w:numFmt w:val="lowerRoman"/>
      <w:lvlText w:val="%2."/>
      <w:lvlJc w:val="right"/>
      <w:pPr>
        <w:ind w:left="1929" w:hanging="360"/>
      </w:pPr>
    </w:lvl>
    <w:lvl w:ilvl="2" w:tplc="14090005" w:tentative="1">
      <w:start w:val="1"/>
      <w:numFmt w:val="lowerRoman"/>
      <w:lvlText w:val="%3."/>
      <w:lvlJc w:val="right"/>
      <w:pPr>
        <w:ind w:left="2649" w:hanging="180"/>
      </w:pPr>
    </w:lvl>
    <w:lvl w:ilvl="3" w:tplc="14090001" w:tentative="1">
      <w:start w:val="1"/>
      <w:numFmt w:val="decimal"/>
      <w:lvlText w:val="%4."/>
      <w:lvlJc w:val="left"/>
      <w:pPr>
        <w:ind w:left="3369" w:hanging="360"/>
      </w:pPr>
    </w:lvl>
    <w:lvl w:ilvl="4" w:tplc="14090003" w:tentative="1">
      <w:start w:val="1"/>
      <w:numFmt w:val="lowerLetter"/>
      <w:lvlText w:val="%5."/>
      <w:lvlJc w:val="left"/>
      <w:pPr>
        <w:ind w:left="4089" w:hanging="360"/>
      </w:pPr>
    </w:lvl>
    <w:lvl w:ilvl="5" w:tplc="14090005" w:tentative="1">
      <w:start w:val="1"/>
      <w:numFmt w:val="lowerRoman"/>
      <w:lvlText w:val="%6."/>
      <w:lvlJc w:val="right"/>
      <w:pPr>
        <w:ind w:left="4809" w:hanging="180"/>
      </w:pPr>
    </w:lvl>
    <w:lvl w:ilvl="6" w:tplc="14090001" w:tentative="1">
      <w:start w:val="1"/>
      <w:numFmt w:val="decimal"/>
      <w:lvlText w:val="%7."/>
      <w:lvlJc w:val="left"/>
      <w:pPr>
        <w:ind w:left="5529" w:hanging="360"/>
      </w:pPr>
    </w:lvl>
    <w:lvl w:ilvl="7" w:tplc="14090003" w:tentative="1">
      <w:start w:val="1"/>
      <w:numFmt w:val="lowerLetter"/>
      <w:lvlText w:val="%8."/>
      <w:lvlJc w:val="left"/>
      <w:pPr>
        <w:ind w:left="6249" w:hanging="360"/>
      </w:pPr>
    </w:lvl>
    <w:lvl w:ilvl="8" w:tplc="14090005" w:tentative="1">
      <w:start w:val="1"/>
      <w:numFmt w:val="lowerRoman"/>
      <w:lvlText w:val="%9."/>
      <w:lvlJc w:val="right"/>
      <w:pPr>
        <w:ind w:left="6969" w:hanging="180"/>
      </w:pPr>
    </w:lvl>
  </w:abstractNum>
  <w:abstractNum w:abstractNumId="43">
    <w:nsid w:val="7C9C3A15"/>
    <w:multiLevelType w:val="hybridMultilevel"/>
    <w:tmpl w:val="D44C1C38"/>
    <w:lvl w:ilvl="0" w:tplc="14090019">
      <w:start w:val="1"/>
      <w:numFmt w:val="lowerLetter"/>
      <w:lvlText w:val="%1."/>
      <w:lvlJc w:val="left"/>
      <w:pPr>
        <w:ind w:left="1209" w:hanging="360"/>
      </w:pPr>
    </w:lvl>
    <w:lvl w:ilvl="1" w:tplc="14090003">
      <w:start w:val="1"/>
      <w:numFmt w:val="lowerRoman"/>
      <w:lvlText w:val="%2."/>
      <w:lvlJc w:val="right"/>
      <w:pPr>
        <w:ind w:left="1929" w:hanging="360"/>
      </w:pPr>
    </w:lvl>
    <w:lvl w:ilvl="2" w:tplc="14090005" w:tentative="1">
      <w:start w:val="1"/>
      <w:numFmt w:val="lowerRoman"/>
      <w:lvlText w:val="%3."/>
      <w:lvlJc w:val="right"/>
      <w:pPr>
        <w:ind w:left="2649" w:hanging="180"/>
      </w:pPr>
    </w:lvl>
    <w:lvl w:ilvl="3" w:tplc="14090001" w:tentative="1">
      <w:start w:val="1"/>
      <w:numFmt w:val="decimal"/>
      <w:lvlText w:val="%4."/>
      <w:lvlJc w:val="left"/>
      <w:pPr>
        <w:ind w:left="3369" w:hanging="360"/>
      </w:pPr>
    </w:lvl>
    <w:lvl w:ilvl="4" w:tplc="14090003" w:tentative="1">
      <w:start w:val="1"/>
      <w:numFmt w:val="lowerLetter"/>
      <w:lvlText w:val="%5."/>
      <w:lvlJc w:val="left"/>
      <w:pPr>
        <w:ind w:left="4089" w:hanging="360"/>
      </w:pPr>
    </w:lvl>
    <w:lvl w:ilvl="5" w:tplc="14090005" w:tentative="1">
      <w:start w:val="1"/>
      <w:numFmt w:val="lowerRoman"/>
      <w:lvlText w:val="%6."/>
      <w:lvlJc w:val="right"/>
      <w:pPr>
        <w:ind w:left="4809" w:hanging="180"/>
      </w:pPr>
    </w:lvl>
    <w:lvl w:ilvl="6" w:tplc="14090001" w:tentative="1">
      <w:start w:val="1"/>
      <w:numFmt w:val="decimal"/>
      <w:lvlText w:val="%7."/>
      <w:lvlJc w:val="left"/>
      <w:pPr>
        <w:ind w:left="5529" w:hanging="360"/>
      </w:pPr>
    </w:lvl>
    <w:lvl w:ilvl="7" w:tplc="14090003" w:tentative="1">
      <w:start w:val="1"/>
      <w:numFmt w:val="lowerLetter"/>
      <w:lvlText w:val="%8."/>
      <w:lvlJc w:val="left"/>
      <w:pPr>
        <w:ind w:left="6249" w:hanging="360"/>
      </w:pPr>
    </w:lvl>
    <w:lvl w:ilvl="8" w:tplc="14090005" w:tentative="1">
      <w:start w:val="1"/>
      <w:numFmt w:val="lowerRoman"/>
      <w:lvlText w:val="%9."/>
      <w:lvlJc w:val="right"/>
      <w:pPr>
        <w:ind w:left="6969" w:hanging="180"/>
      </w:pPr>
    </w:lvl>
  </w:abstractNum>
  <w:abstractNum w:abstractNumId="44">
    <w:nsid w:val="7D585A56"/>
    <w:multiLevelType w:val="hybridMultilevel"/>
    <w:tmpl w:val="9BE89220"/>
    <w:lvl w:ilvl="0" w:tplc="67129BCC">
      <w:start w:val="1"/>
      <w:numFmt w:val="low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7D6D7FAA"/>
    <w:multiLevelType w:val="hybridMultilevel"/>
    <w:tmpl w:val="D44C1C38"/>
    <w:lvl w:ilvl="0" w:tplc="14090019">
      <w:start w:val="1"/>
      <w:numFmt w:val="lowerLetter"/>
      <w:lvlText w:val="%1."/>
      <w:lvlJc w:val="left"/>
      <w:pPr>
        <w:ind w:left="1209" w:hanging="360"/>
      </w:pPr>
    </w:lvl>
    <w:lvl w:ilvl="1" w:tplc="14090003">
      <w:start w:val="1"/>
      <w:numFmt w:val="lowerRoman"/>
      <w:lvlText w:val="%2."/>
      <w:lvlJc w:val="right"/>
      <w:pPr>
        <w:ind w:left="1929" w:hanging="360"/>
      </w:pPr>
    </w:lvl>
    <w:lvl w:ilvl="2" w:tplc="14090005" w:tentative="1">
      <w:start w:val="1"/>
      <w:numFmt w:val="lowerRoman"/>
      <w:lvlText w:val="%3."/>
      <w:lvlJc w:val="right"/>
      <w:pPr>
        <w:ind w:left="2649" w:hanging="180"/>
      </w:pPr>
    </w:lvl>
    <w:lvl w:ilvl="3" w:tplc="14090001" w:tentative="1">
      <w:start w:val="1"/>
      <w:numFmt w:val="decimal"/>
      <w:lvlText w:val="%4."/>
      <w:lvlJc w:val="left"/>
      <w:pPr>
        <w:ind w:left="3369" w:hanging="360"/>
      </w:pPr>
    </w:lvl>
    <w:lvl w:ilvl="4" w:tplc="14090003" w:tentative="1">
      <w:start w:val="1"/>
      <w:numFmt w:val="lowerLetter"/>
      <w:lvlText w:val="%5."/>
      <w:lvlJc w:val="left"/>
      <w:pPr>
        <w:ind w:left="4089" w:hanging="360"/>
      </w:pPr>
    </w:lvl>
    <w:lvl w:ilvl="5" w:tplc="14090005" w:tentative="1">
      <w:start w:val="1"/>
      <w:numFmt w:val="lowerRoman"/>
      <w:lvlText w:val="%6."/>
      <w:lvlJc w:val="right"/>
      <w:pPr>
        <w:ind w:left="4809" w:hanging="180"/>
      </w:pPr>
    </w:lvl>
    <w:lvl w:ilvl="6" w:tplc="14090001" w:tentative="1">
      <w:start w:val="1"/>
      <w:numFmt w:val="decimal"/>
      <w:lvlText w:val="%7."/>
      <w:lvlJc w:val="left"/>
      <w:pPr>
        <w:ind w:left="5529" w:hanging="360"/>
      </w:pPr>
    </w:lvl>
    <w:lvl w:ilvl="7" w:tplc="14090003" w:tentative="1">
      <w:start w:val="1"/>
      <w:numFmt w:val="lowerLetter"/>
      <w:lvlText w:val="%8."/>
      <w:lvlJc w:val="left"/>
      <w:pPr>
        <w:ind w:left="6249" w:hanging="360"/>
      </w:pPr>
    </w:lvl>
    <w:lvl w:ilvl="8" w:tplc="14090005" w:tentative="1">
      <w:start w:val="1"/>
      <w:numFmt w:val="lowerRoman"/>
      <w:lvlText w:val="%9."/>
      <w:lvlJc w:val="right"/>
      <w:pPr>
        <w:ind w:left="6969" w:hanging="180"/>
      </w:pPr>
    </w:lvl>
  </w:abstractNum>
  <w:num w:numId="1">
    <w:abstractNumId w:val="35"/>
  </w:num>
  <w:num w:numId="2">
    <w:abstractNumId w:val="0"/>
  </w:num>
  <w:num w:numId="3">
    <w:abstractNumId w:val="24"/>
  </w:num>
  <w:num w:numId="4">
    <w:abstractNumId w:val="7"/>
  </w:num>
  <w:num w:numId="5">
    <w:abstractNumId w:val="40"/>
  </w:num>
  <w:num w:numId="6">
    <w:abstractNumId w:val="25"/>
  </w:num>
  <w:num w:numId="7">
    <w:abstractNumId w:val="17"/>
  </w:num>
  <w:num w:numId="8">
    <w:abstractNumId w:val="41"/>
  </w:num>
  <w:num w:numId="9">
    <w:abstractNumId w:val="38"/>
  </w:num>
  <w:num w:numId="10">
    <w:abstractNumId w:val="13"/>
  </w:num>
  <w:num w:numId="11">
    <w:abstractNumId w:val="2"/>
  </w:num>
  <w:num w:numId="12">
    <w:abstractNumId w:val="29"/>
  </w:num>
  <w:num w:numId="13">
    <w:abstractNumId w:val="21"/>
  </w:num>
  <w:num w:numId="14">
    <w:abstractNumId w:val="43"/>
  </w:num>
  <w:num w:numId="15">
    <w:abstractNumId w:val="32"/>
  </w:num>
  <w:num w:numId="16">
    <w:abstractNumId w:val="4"/>
  </w:num>
  <w:num w:numId="17">
    <w:abstractNumId w:val="26"/>
  </w:num>
  <w:num w:numId="18">
    <w:abstractNumId w:val="36"/>
  </w:num>
  <w:num w:numId="19">
    <w:abstractNumId w:val="22"/>
  </w:num>
  <w:num w:numId="20">
    <w:abstractNumId w:val="6"/>
  </w:num>
  <w:num w:numId="21">
    <w:abstractNumId w:val="9"/>
  </w:num>
  <w:num w:numId="22">
    <w:abstractNumId w:val="11"/>
  </w:num>
  <w:num w:numId="23">
    <w:abstractNumId w:val="45"/>
  </w:num>
  <w:num w:numId="24">
    <w:abstractNumId w:val="1"/>
  </w:num>
  <w:num w:numId="25">
    <w:abstractNumId w:val="34"/>
  </w:num>
  <w:num w:numId="26">
    <w:abstractNumId w:val="3"/>
  </w:num>
  <w:num w:numId="27">
    <w:abstractNumId w:val="5"/>
  </w:num>
  <w:num w:numId="28">
    <w:abstractNumId w:val="42"/>
  </w:num>
  <w:num w:numId="29">
    <w:abstractNumId w:val="31"/>
  </w:num>
  <w:num w:numId="30">
    <w:abstractNumId w:val="19"/>
  </w:num>
  <w:num w:numId="31">
    <w:abstractNumId w:val="18"/>
  </w:num>
  <w:num w:numId="32">
    <w:abstractNumId w:val="12"/>
  </w:num>
  <w:num w:numId="33">
    <w:abstractNumId w:val="33"/>
  </w:num>
  <w:num w:numId="34">
    <w:abstractNumId w:val="16"/>
  </w:num>
  <w:num w:numId="35">
    <w:abstractNumId w:val="14"/>
  </w:num>
  <w:num w:numId="36">
    <w:abstractNumId w:val="37"/>
  </w:num>
  <w:num w:numId="37">
    <w:abstractNumId w:val="23"/>
  </w:num>
  <w:num w:numId="38">
    <w:abstractNumId w:val="15"/>
  </w:num>
  <w:num w:numId="39">
    <w:abstractNumId w:val="8"/>
  </w:num>
  <w:num w:numId="40">
    <w:abstractNumId w:val="27"/>
  </w:num>
  <w:num w:numId="41">
    <w:abstractNumId w:val="28"/>
  </w:num>
  <w:num w:numId="42">
    <w:abstractNumId w:val="30"/>
  </w:num>
  <w:num w:numId="43">
    <w:abstractNumId w:val="10"/>
  </w:num>
  <w:num w:numId="44">
    <w:abstractNumId w:val="44"/>
  </w:num>
  <w:num w:numId="45">
    <w:abstractNumId w:val="39"/>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2529" style="v-text-anchor:middle" fillcolor="none [3204]" strokecolor="none [1604]">
      <v:fill color="none [3204]"/>
      <v:stroke color="none [1604]" weight="2pt"/>
      <o:colormenu v:ext="edit" strokecolor="none [3212]"/>
    </o:shapedefaults>
  </w:hdrShapeDefaults>
  <w:footnotePr>
    <w:footnote w:id="-1"/>
    <w:footnote w:id="0"/>
  </w:footnotePr>
  <w:endnotePr>
    <w:endnote w:id="-1"/>
    <w:endnote w:id="0"/>
  </w:endnotePr>
  <w:compat/>
  <w:rsids>
    <w:rsidRoot w:val="003F1E1E"/>
    <w:rsid w:val="000069AD"/>
    <w:rsid w:val="00027FC5"/>
    <w:rsid w:val="00037BD6"/>
    <w:rsid w:val="0004113F"/>
    <w:rsid w:val="00041B8F"/>
    <w:rsid w:val="000471D5"/>
    <w:rsid w:val="000502FD"/>
    <w:rsid w:val="00070A04"/>
    <w:rsid w:val="0008315C"/>
    <w:rsid w:val="00092536"/>
    <w:rsid w:val="000B1ED4"/>
    <w:rsid w:val="000C1A20"/>
    <w:rsid w:val="000E501D"/>
    <w:rsid w:val="000F5E06"/>
    <w:rsid w:val="00100CC1"/>
    <w:rsid w:val="001202EB"/>
    <w:rsid w:val="00120DDE"/>
    <w:rsid w:val="0016202D"/>
    <w:rsid w:val="00175D2C"/>
    <w:rsid w:val="00191513"/>
    <w:rsid w:val="00193A0B"/>
    <w:rsid w:val="00197A77"/>
    <w:rsid w:val="001B27F5"/>
    <w:rsid w:val="001D6579"/>
    <w:rsid w:val="001E3A95"/>
    <w:rsid w:val="00210D0B"/>
    <w:rsid w:val="002274D3"/>
    <w:rsid w:val="00227B54"/>
    <w:rsid w:val="0025697C"/>
    <w:rsid w:val="002728FF"/>
    <w:rsid w:val="00292C42"/>
    <w:rsid w:val="00294412"/>
    <w:rsid w:val="00296543"/>
    <w:rsid w:val="002A14CD"/>
    <w:rsid w:val="002A55AB"/>
    <w:rsid w:val="002B7C84"/>
    <w:rsid w:val="002C231C"/>
    <w:rsid w:val="002D0D41"/>
    <w:rsid w:val="002F7170"/>
    <w:rsid w:val="003073CB"/>
    <w:rsid w:val="00333FDF"/>
    <w:rsid w:val="00346537"/>
    <w:rsid w:val="00355A67"/>
    <w:rsid w:val="00374BFA"/>
    <w:rsid w:val="00380237"/>
    <w:rsid w:val="00386FCE"/>
    <w:rsid w:val="003874D8"/>
    <w:rsid w:val="003B001F"/>
    <w:rsid w:val="003B3846"/>
    <w:rsid w:val="003B7C32"/>
    <w:rsid w:val="003F1E1E"/>
    <w:rsid w:val="003F2F41"/>
    <w:rsid w:val="00400DB5"/>
    <w:rsid w:val="004152C0"/>
    <w:rsid w:val="004243A8"/>
    <w:rsid w:val="00457EDC"/>
    <w:rsid w:val="00473DBB"/>
    <w:rsid w:val="00484931"/>
    <w:rsid w:val="004D3EF8"/>
    <w:rsid w:val="004E31BC"/>
    <w:rsid w:val="004E5C57"/>
    <w:rsid w:val="00503E79"/>
    <w:rsid w:val="00505784"/>
    <w:rsid w:val="0051180C"/>
    <w:rsid w:val="00527B9F"/>
    <w:rsid w:val="00536AA6"/>
    <w:rsid w:val="0054634D"/>
    <w:rsid w:val="00563E2D"/>
    <w:rsid w:val="00582D24"/>
    <w:rsid w:val="005A7E28"/>
    <w:rsid w:val="005C2CB8"/>
    <w:rsid w:val="005E0692"/>
    <w:rsid w:val="005E3479"/>
    <w:rsid w:val="005E6172"/>
    <w:rsid w:val="0061797C"/>
    <w:rsid w:val="00621F24"/>
    <w:rsid w:val="00644F9F"/>
    <w:rsid w:val="00645D4D"/>
    <w:rsid w:val="006460E5"/>
    <w:rsid w:val="00650E68"/>
    <w:rsid w:val="0065217B"/>
    <w:rsid w:val="00692FF6"/>
    <w:rsid w:val="006D1C6C"/>
    <w:rsid w:val="006F278F"/>
    <w:rsid w:val="006F4254"/>
    <w:rsid w:val="00724E3D"/>
    <w:rsid w:val="00753A08"/>
    <w:rsid w:val="00766D64"/>
    <w:rsid w:val="00791FCB"/>
    <w:rsid w:val="007923C9"/>
    <w:rsid w:val="007A6154"/>
    <w:rsid w:val="007B2F9E"/>
    <w:rsid w:val="007D2DC8"/>
    <w:rsid w:val="00822DD8"/>
    <w:rsid w:val="0083189B"/>
    <w:rsid w:val="00862FB4"/>
    <w:rsid w:val="0087533B"/>
    <w:rsid w:val="00877213"/>
    <w:rsid w:val="00882464"/>
    <w:rsid w:val="00892296"/>
    <w:rsid w:val="008E4186"/>
    <w:rsid w:val="008E7CF5"/>
    <w:rsid w:val="008F0477"/>
    <w:rsid w:val="00927752"/>
    <w:rsid w:val="00936E8C"/>
    <w:rsid w:val="0096053D"/>
    <w:rsid w:val="009622B6"/>
    <w:rsid w:val="0098509C"/>
    <w:rsid w:val="00986FF4"/>
    <w:rsid w:val="00996E6A"/>
    <w:rsid w:val="009A582B"/>
    <w:rsid w:val="009A632F"/>
    <w:rsid w:val="009C0079"/>
    <w:rsid w:val="009F547E"/>
    <w:rsid w:val="00A171BA"/>
    <w:rsid w:val="00A35462"/>
    <w:rsid w:val="00A60E91"/>
    <w:rsid w:val="00A61BAD"/>
    <w:rsid w:val="00A61C76"/>
    <w:rsid w:val="00A966B2"/>
    <w:rsid w:val="00AC2F26"/>
    <w:rsid w:val="00AD01BF"/>
    <w:rsid w:val="00AD32C3"/>
    <w:rsid w:val="00AD33F8"/>
    <w:rsid w:val="00AD4D1B"/>
    <w:rsid w:val="00B06AF6"/>
    <w:rsid w:val="00B112C7"/>
    <w:rsid w:val="00B31057"/>
    <w:rsid w:val="00B57A47"/>
    <w:rsid w:val="00B67DE3"/>
    <w:rsid w:val="00B81A66"/>
    <w:rsid w:val="00B93D7C"/>
    <w:rsid w:val="00BB15B0"/>
    <w:rsid w:val="00BC7EDB"/>
    <w:rsid w:val="00BD116E"/>
    <w:rsid w:val="00BE19DE"/>
    <w:rsid w:val="00BF09B1"/>
    <w:rsid w:val="00C066CF"/>
    <w:rsid w:val="00C2361F"/>
    <w:rsid w:val="00C61400"/>
    <w:rsid w:val="00C678D2"/>
    <w:rsid w:val="00C76561"/>
    <w:rsid w:val="00C82236"/>
    <w:rsid w:val="00C862F9"/>
    <w:rsid w:val="00C86D39"/>
    <w:rsid w:val="00C94F2A"/>
    <w:rsid w:val="00CA6343"/>
    <w:rsid w:val="00CB1B09"/>
    <w:rsid w:val="00CB2737"/>
    <w:rsid w:val="00CC4711"/>
    <w:rsid w:val="00CE1384"/>
    <w:rsid w:val="00CF474B"/>
    <w:rsid w:val="00CF7077"/>
    <w:rsid w:val="00D34ACD"/>
    <w:rsid w:val="00D453D2"/>
    <w:rsid w:val="00D662A8"/>
    <w:rsid w:val="00D667A4"/>
    <w:rsid w:val="00D96645"/>
    <w:rsid w:val="00DA2778"/>
    <w:rsid w:val="00DA5303"/>
    <w:rsid w:val="00DB60DE"/>
    <w:rsid w:val="00DC244C"/>
    <w:rsid w:val="00DD2EE0"/>
    <w:rsid w:val="00DD4819"/>
    <w:rsid w:val="00DE0965"/>
    <w:rsid w:val="00DE4FB4"/>
    <w:rsid w:val="00DF77F4"/>
    <w:rsid w:val="00E2136D"/>
    <w:rsid w:val="00E83924"/>
    <w:rsid w:val="00E86EF8"/>
    <w:rsid w:val="00EA65EF"/>
    <w:rsid w:val="00EB76BF"/>
    <w:rsid w:val="00EC085F"/>
    <w:rsid w:val="00EC0DBB"/>
    <w:rsid w:val="00EC4151"/>
    <w:rsid w:val="00EC6E7B"/>
    <w:rsid w:val="00EE47E0"/>
    <w:rsid w:val="00EE6334"/>
    <w:rsid w:val="00F05F17"/>
    <w:rsid w:val="00F26C6A"/>
    <w:rsid w:val="00F30381"/>
    <w:rsid w:val="00F55862"/>
    <w:rsid w:val="00F66D93"/>
    <w:rsid w:val="00F71A8E"/>
    <w:rsid w:val="00F772BC"/>
    <w:rsid w:val="00F824FC"/>
    <w:rsid w:val="00F82F9B"/>
    <w:rsid w:val="00F85436"/>
    <w:rsid w:val="00FA5E10"/>
    <w:rsid w:val="00FA7158"/>
    <w:rsid w:val="00FE196D"/>
    <w:rsid w:val="00FF2C1F"/>
    <w:rsid w:val="00FF661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v-text-anchor:middle" fillcolor="none [3204]" strokecolor="none [1604]">
      <v:fill color="none [3204]"/>
      <v:stroke color="none [1604]" weight="2pt"/>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BC7EDB"/>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BC7EDB"/>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BC7EDB"/>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BC7EDB"/>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7EDB"/>
    <w:pPr>
      <w:spacing w:before="60" w:after="220" w:line="280" w:lineRule="exact"/>
    </w:pPr>
    <w:rPr>
      <w:rFonts w:ascii="Arial" w:hAnsi="Arial"/>
      <w:szCs w:val="20"/>
      <w:lang w:val="en-NZ"/>
    </w:rPr>
  </w:style>
  <w:style w:type="paragraph" w:styleId="PlainText">
    <w:name w:val="Plain Text"/>
    <w:basedOn w:val="Normal"/>
    <w:rsid w:val="00BC7EDB"/>
    <w:pPr>
      <w:tabs>
        <w:tab w:val="left" w:pos="425"/>
      </w:tabs>
      <w:spacing w:after="240" w:line="320" w:lineRule="exact"/>
    </w:pPr>
    <w:rPr>
      <w:szCs w:val="20"/>
      <w:lang w:val="en-NZ"/>
    </w:rPr>
  </w:style>
  <w:style w:type="paragraph" w:customStyle="1" w:styleId="Bullet">
    <w:name w:val="Bullet"/>
    <w:basedOn w:val="PlainText"/>
    <w:rsid w:val="00BC7EDB"/>
    <w:pPr>
      <w:numPr>
        <w:numId w:val="1"/>
      </w:numPr>
      <w:tabs>
        <w:tab w:val="clear" w:pos="360"/>
      </w:tabs>
      <w:spacing w:after="0"/>
      <w:ind w:left="425" w:hanging="425"/>
    </w:pPr>
  </w:style>
  <w:style w:type="paragraph" w:customStyle="1" w:styleId="Bulletspace">
    <w:name w:val="Bullet+space"/>
    <w:basedOn w:val="Bullet"/>
    <w:rsid w:val="00BC7EDB"/>
    <w:pPr>
      <w:numPr>
        <w:numId w:val="0"/>
      </w:numPr>
      <w:spacing w:after="240"/>
      <w:ind w:left="425" w:hanging="425"/>
    </w:pPr>
  </w:style>
  <w:style w:type="character" w:styleId="CommentReference">
    <w:name w:val="annotation reference"/>
    <w:basedOn w:val="DefaultParagraphFont"/>
    <w:semiHidden/>
    <w:rsid w:val="00BC7EDB"/>
    <w:rPr>
      <w:sz w:val="16"/>
      <w:szCs w:val="16"/>
    </w:rPr>
  </w:style>
  <w:style w:type="character" w:styleId="FollowedHyperlink">
    <w:name w:val="FollowedHyperlink"/>
    <w:basedOn w:val="DefaultParagraphFont"/>
    <w:rsid w:val="00BC7EDB"/>
    <w:rPr>
      <w:color w:val="800080"/>
      <w:u w:val="single"/>
    </w:rPr>
  </w:style>
  <w:style w:type="paragraph" w:styleId="Footer">
    <w:name w:val="footer"/>
    <w:basedOn w:val="Normal"/>
    <w:next w:val="Normal"/>
    <w:link w:val="FooterChar"/>
    <w:uiPriority w:val="99"/>
    <w:rsid w:val="00BC7EDB"/>
    <w:pPr>
      <w:spacing w:line="200" w:lineRule="exact"/>
    </w:pPr>
    <w:rPr>
      <w:rFonts w:ascii="Arial" w:hAnsi="Arial"/>
      <w:sz w:val="15"/>
      <w:szCs w:val="20"/>
      <w:lang w:val="en-NZ"/>
    </w:rPr>
  </w:style>
  <w:style w:type="paragraph" w:styleId="Header">
    <w:name w:val="header"/>
    <w:basedOn w:val="Normal"/>
    <w:link w:val="HeaderChar"/>
    <w:rsid w:val="00BC7EDB"/>
    <w:pPr>
      <w:tabs>
        <w:tab w:val="center" w:pos="4536"/>
        <w:tab w:val="right" w:pos="9072"/>
      </w:tabs>
      <w:spacing w:line="240" w:lineRule="exact"/>
    </w:pPr>
    <w:rPr>
      <w:sz w:val="16"/>
      <w:szCs w:val="20"/>
      <w:lang w:val="en-NZ"/>
    </w:rPr>
  </w:style>
  <w:style w:type="character" w:styleId="Hyperlink">
    <w:name w:val="Hyperlink"/>
    <w:basedOn w:val="DefaultParagraphFont"/>
    <w:rsid w:val="00BC7EDB"/>
    <w:rPr>
      <w:color w:val="0000FF"/>
      <w:u w:val="single"/>
    </w:rPr>
  </w:style>
  <w:style w:type="paragraph" w:styleId="ListBullet">
    <w:name w:val="List Bullet"/>
    <w:basedOn w:val="Normal"/>
    <w:autoRedefine/>
    <w:rsid w:val="00BC7EDB"/>
    <w:pPr>
      <w:numPr>
        <w:numId w:val="3"/>
      </w:numPr>
      <w:tabs>
        <w:tab w:val="clear" w:pos="425"/>
      </w:tabs>
      <w:spacing w:line="280" w:lineRule="exact"/>
    </w:pPr>
    <w:rPr>
      <w:szCs w:val="20"/>
      <w:lang w:val="en-NZ"/>
    </w:rPr>
  </w:style>
  <w:style w:type="paragraph" w:customStyle="1" w:styleId="ListPara">
    <w:name w:val="List Para"/>
    <w:basedOn w:val="Normal"/>
    <w:rsid w:val="00BC7EDB"/>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BC7EDB"/>
    <w:pPr>
      <w:spacing w:before="60" w:after="60" w:line="280" w:lineRule="exact"/>
    </w:pPr>
    <w:rPr>
      <w:rFonts w:ascii="Arial" w:hAnsi="Arial"/>
      <w:szCs w:val="20"/>
      <w:lang w:val="en-NZ"/>
    </w:rPr>
  </w:style>
  <w:style w:type="paragraph" w:customStyle="1" w:styleId="MemoAddresseePrompts">
    <w:name w:val="MemoAddresseePrompts"/>
    <w:basedOn w:val="Normal"/>
    <w:rsid w:val="00BC7EDB"/>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BC7EDB"/>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BC7EDB"/>
    <w:pPr>
      <w:numPr>
        <w:numId w:val="6"/>
      </w:numPr>
    </w:pPr>
  </w:style>
  <w:style w:type="paragraph" w:customStyle="1" w:styleId="Space">
    <w:name w:val="Space"/>
    <w:basedOn w:val="Normal"/>
    <w:rsid w:val="00BC7EDB"/>
    <w:pPr>
      <w:spacing w:line="320" w:lineRule="atLeast"/>
    </w:pPr>
    <w:rPr>
      <w:szCs w:val="20"/>
      <w:lang w:val="en-NZ"/>
    </w:rPr>
  </w:style>
  <w:style w:type="paragraph" w:customStyle="1" w:styleId="Subject">
    <w:name w:val="Subject"/>
    <w:basedOn w:val="Normal"/>
    <w:next w:val="PlainText"/>
    <w:rsid w:val="00BC7EDB"/>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paragraph" w:customStyle="1" w:styleId="MoEQuoteBold">
    <w:name w:val="MoE: Quote (Bold)"/>
    <w:basedOn w:val="Normal"/>
    <w:link w:val="MoEQuoteBoldChar"/>
    <w:qFormat/>
    <w:rsid w:val="003F1E1E"/>
    <w:pPr>
      <w:spacing w:before="120" w:after="120"/>
      <w:ind w:left="284"/>
    </w:pPr>
    <w:rPr>
      <w:rFonts w:ascii="Century Gothic" w:eastAsiaTheme="minorHAnsi" w:hAnsi="Century Gothic" w:cstheme="minorBidi"/>
      <w:b/>
      <w:color w:val="3F92CF"/>
      <w:sz w:val="28"/>
      <w:szCs w:val="28"/>
      <w:lang w:val="en-NZ"/>
    </w:rPr>
  </w:style>
  <w:style w:type="character" w:customStyle="1" w:styleId="MoEQuoteBoldChar">
    <w:name w:val="MoE: Quote (Bold) Char"/>
    <w:basedOn w:val="DefaultParagraphFont"/>
    <w:link w:val="MoEQuoteBold"/>
    <w:rsid w:val="003F1E1E"/>
    <w:rPr>
      <w:rFonts w:ascii="Century Gothic" w:eastAsiaTheme="minorHAnsi" w:hAnsi="Century Gothic" w:cstheme="minorBidi"/>
      <w:b/>
      <w:color w:val="3F92CF"/>
      <w:sz w:val="28"/>
      <w:szCs w:val="28"/>
      <w:lang w:eastAsia="en-US"/>
    </w:rPr>
  </w:style>
  <w:style w:type="table" w:styleId="TableGrid">
    <w:name w:val="Table Grid"/>
    <w:basedOn w:val="TableNormal"/>
    <w:uiPriority w:val="39"/>
    <w:rsid w:val="003F1E1E"/>
    <w:pPr>
      <w:keepLines/>
      <w:suppressAutoHyphens/>
      <w:spacing w:before="120" w:after="120"/>
      <w:ind w:left="113"/>
    </w:pPr>
    <w:rPr>
      <w:rFonts w:ascii="Arial" w:eastAsiaTheme="minorHAnsi" w:hAnsi="Arial" w:cstheme="minorBidi"/>
      <w:szCs w:val="22"/>
      <w:lang w:eastAsia="en-US"/>
    </w:rPr>
    <w:tblPr>
      <w:tblStyleRowBandSize w:val="1"/>
      <w:tblStyleColBandSize w:val="1"/>
      <w:tblInd w:w="0" w:type="dxa"/>
      <w:tblBorders>
        <w:insideV w:val="single" w:sz="8" w:space="0" w:color="D9D9D9" w:themeColor="background1" w:themeShade="D9"/>
      </w:tblBorders>
      <w:tblCellMar>
        <w:top w:w="0" w:type="dxa"/>
        <w:left w:w="108" w:type="dxa"/>
        <w:bottom w:w="0" w:type="dxa"/>
        <w:right w:w="108" w:type="dxa"/>
      </w:tblCellMar>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styleId="ListParagraph">
    <w:name w:val="List Paragraph"/>
    <w:aliases w:val="List Paragraph numbered,List Bullet indent,List Paragraph1,Bullet List,FooterText,numbered,Paragraphe de liste1,Bulletr List Paragraph,列出段落,列出段落1,Listeafsnit1,Parágrafo da Lista1,List Paragraph2,List Paragraph21,Párrafo de lista1,リスト段落1"/>
    <w:basedOn w:val="Normal"/>
    <w:link w:val="ListParagraphChar"/>
    <w:uiPriority w:val="34"/>
    <w:qFormat/>
    <w:rsid w:val="00EA65EF"/>
    <w:pPr>
      <w:ind w:left="720"/>
      <w:contextualSpacing/>
    </w:pPr>
  </w:style>
  <w:style w:type="paragraph" w:styleId="CommentText">
    <w:name w:val="annotation text"/>
    <w:basedOn w:val="Normal"/>
    <w:link w:val="CommentTextChar"/>
    <w:uiPriority w:val="99"/>
    <w:semiHidden/>
    <w:unhideWhenUsed/>
    <w:rsid w:val="00882464"/>
    <w:rPr>
      <w:rFonts w:ascii="Calibri" w:eastAsiaTheme="minorHAnsi" w:hAnsi="Calibri"/>
      <w:sz w:val="20"/>
      <w:szCs w:val="20"/>
      <w:lang w:val="en-NZ"/>
    </w:rPr>
  </w:style>
  <w:style w:type="character" w:customStyle="1" w:styleId="CommentTextChar">
    <w:name w:val="Comment Text Char"/>
    <w:basedOn w:val="DefaultParagraphFont"/>
    <w:link w:val="CommentText"/>
    <w:uiPriority w:val="99"/>
    <w:semiHidden/>
    <w:rsid w:val="00882464"/>
    <w:rPr>
      <w:rFonts w:ascii="Calibri" w:eastAsiaTheme="minorHAnsi" w:hAnsi="Calibri"/>
      <w:lang w:eastAsia="en-US"/>
    </w:rPr>
  </w:style>
  <w:style w:type="paragraph" w:customStyle="1" w:styleId="TRNormal">
    <w:name w:val="_TRNormal"/>
    <w:rsid w:val="00A60E91"/>
    <w:pPr>
      <w:ind w:left="567" w:hanging="567"/>
    </w:pPr>
    <w:rPr>
      <w:rFonts w:ascii="Arial" w:hAnsi="Arial"/>
      <w:sz w:val="22"/>
      <w:lang w:eastAsia="en-US"/>
    </w:rPr>
  </w:style>
  <w:style w:type="character" w:customStyle="1" w:styleId="ListParagraphChar">
    <w:name w:val="List Paragraph Char"/>
    <w:aliases w:val="List Paragraph numbered Char,List Bullet indent Char,List Paragraph1 Char,Bullet List Char,FooterText Char,numbered Char,Paragraphe de liste1 Char,Bulletr List Paragraph Char,列出段落 Char,列出段落1 Char,Listeafsnit1 Char,リスト段落1 Char"/>
    <w:basedOn w:val="DefaultParagraphFont"/>
    <w:link w:val="ListParagraph"/>
    <w:uiPriority w:val="34"/>
    <w:locked/>
    <w:rsid w:val="00EC4151"/>
    <w:rPr>
      <w:rFonts w:ascii="Tahoma" w:hAnsi="Tahoma"/>
      <w:sz w:val="24"/>
      <w:szCs w:val="24"/>
      <w:lang w:val="en-AU" w:eastAsia="en-US"/>
    </w:rPr>
  </w:style>
  <w:style w:type="paragraph" w:customStyle="1" w:styleId="BlueSubheading3">
    <w:name w:val="Blue Subheading 3"/>
    <w:basedOn w:val="Heading3"/>
    <w:qFormat/>
    <w:rsid w:val="00EC4151"/>
    <w:pPr>
      <w:keepLines/>
      <w:spacing w:before="200" w:after="120" w:line="240" w:lineRule="atLeast"/>
    </w:pPr>
    <w:rPr>
      <w:rFonts w:eastAsiaTheme="majorEastAsia" w:cstheme="majorBidi"/>
      <w:bCs/>
      <w:i w:val="0"/>
      <w:color w:val="3472AC"/>
      <w:sz w:val="20"/>
      <w:szCs w:val="22"/>
    </w:rPr>
  </w:style>
  <w:style w:type="paragraph" w:styleId="FootnoteText">
    <w:name w:val="footnote text"/>
    <w:basedOn w:val="Normal"/>
    <w:link w:val="FootnoteTextChar"/>
    <w:uiPriority w:val="99"/>
    <w:rsid w:val="00A61C76"/>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rsid w:val="00A61C76"/>
    <w:rPr>
      <w:rFonts w:asciiTheme="minorHAnsi" w:eastAsiaTheme="minorHAnsi" w:hAnsiTheme="minorHAnsi" w:cstheme="minorBidi"/>
      <w:lang w:eastAsia="en-US"/>
    </w:rPr>
  </w:style>
  <w:style w:type="character" w:styleId="FootnoteReference">
    <w:name w:val="footnote reference"/>
    <w:basedOn w:val="DefaultParagraphFont"/>
    <w:uiPriority w:val="99"/>
    <w:rsid w:val="00A61C76"/>
    <w:rPr>
      <w:vertAlign w:val="superscript"/>
    </w:rPr>
  </w:style>
  <w:style w:type="character" w:styleId="Emphasis">
    <w:name w:val="Emphasis"/>
    <w:basedOn w:val="DefaultParagraphFont"/>
    <w:uiPriority w:val="20"/>
    <w:qFormat/>
    <w:rsid w:val="00A61C76"/>
    <w:rPr>
      <w:b/>
      <w:bCs/>
      <w:i w:val="0"/>
      <w:iCs w:val="0"/>
    </w:rPr>
  </w:style>
  <w:style w:type="character" w:customStyle="1" w:styleId="st1">
    <w:name w:val="st1"/>
    <w:basedOn w:val="DefaultParagraphFont"/>
    <w:rsid w:val="00A61C76"/>
  </w:style>
  <w:style w:type="paragraph" w:styleId="BalloonText">
    <w:name w:val="Balloon Text"/>
    <w:basedOn w:val="Normal"/>
    <w:link w:val="BalloonTextChar"/>
    <w:uiPriority w:val="99"/>
    <w:semiHidden/>
    <w:unhideWhenUsed/>
    <w:rsid w:val="00936E8C"/>
    <w:rPr>
      <w:rFonts w:cs="Tahoma"/>
      <w:sz w:val="16"/>
      <w:szCs w:val="16"/>
    </w:rPr>
  </w:style>
  <w:style w:type="character" w:customStyle="1" w:styleId="BalloonTextChar">
    <w:name w:val="Balloon Text Char"/>
    <w:basedOn w:val="DefaultParagraphFont"/>
    <w:link w:val="BalloonText"/>
    <w:uiPriority w:val="99"/>
    <w:semiHidden/>
    <w:rsid w:val="00936E8C"/>
    <w:rPr>
      <w:rFonts w:ascii="Tahoma" w:hAnsi="Tahoma" w:cs="Tahoma"/>
      <w:sz w:val="16"/>
      <w:szCs w:val="16"/>
      <w:lang w:val="en-AU" w:eastAsia="en-US"/>
    </w:rPr>
  </w:style>
  <w:style w:type="paragraph" w:styleId="CommentSubject">
    <w:name w:val="annotation subject"/>
    <w:basedOn w:val="CommentText"/>
    <w:next w:val="CommentText"/>
    <w:link w:val="CommentSubjectChar"/>
    <w:uiPriority w:val="99"/>
    <w:semiHidden/>
    <w:unhideWhenUsed/>
    <w:rsid w:val="004E31BC"/>
    <w:rPr>
      <w:rFonts w:ascii="Tahoma" w:eastAsia="Times New Roman" w:hAnsi="Tahoma"/>
      <w:b/>
      <w:bCs/>
      <w:lang w:val="en-AU"/>
    </w:rPr>
  </w:style>
  <w:style w:type="character" w:customStyle="1" w:styleId="CommentSubjectChar">
    <w:name w:val="Comment Subject Char"/>
    <w:basedOn w:val="CommentTextChar"/>
    <w:link w:val="CommentSubject"/>
    <w:uiPriority w:val="99"/>
    <w:semiHidden/>
    <w:rsid w:val="004E31BC"/>
    <w:rPr>
      <w:rFonts w:ascii="Tahoma" w:eastAsiaTheme="minorHAnsi" w:hAnsi="Tahoma"/>
      <w:b/>
      <w:bCs/>
      <w:lang w:val="en-AU" w:eastAsia="en-US"/>
    </w:rPr>
  </w:style>
  <w:style w:type="paragraph" w:styleId="Revision">
    <w:name w:val="Revision"/>
    <w:hidden/>
    <w:uiPriority w:val="99"/>
    <w:semiHidden/>
    <w:rsid w:val="004E31BC"/>
    <w:rPr>
      <w:rFonts w:ascii="Tahoma" w:hAnsi="Tahoma"/>
      <w:sz w:val="24"/>
      <w:szCs w:val="24"/>
      <w:lang w:val="en-AU" w:eastAsia="en-US"/>
    </w:rPr>
  </w:style>
  <w:style w:type="character" w:customStyle="1" w:styleId="FooterChar">
    <w:name w:val="Footer Char"/>
    <w:basedOn w:val="DefaultParagraphFont"/>
    <w:link w:val="Footer"/>
    <w:uiPriority w:val="99"/>
    <w:rsid w:val="002B7C84"/>
    <w:rPr>
      <w:rFonts w:ascii="Arial" w:hAnsi="Arial"/>
      <w:sz w:val="15"/>
      <w:lang w:eastAsia="en-US"/>
    </w:rPr>
  </w:style>
  <w:style w:type="character" w:customStyle="1" w:styleId="HeaderChar">
    <w:name w:val="Header Char"/>
    <w:basedOn w:val="DefaultParagraphFont"/>
    <w:link w:val="Header"/>
    <w:rsid w:val="00A35462"/>
    <w:rPr>
      <w:rFonts w:ascii="Tahoma" w:hAnsi="Tahoma"/>
      <w:sz w:val="16"/>
      <w:lang w:eastAsia="en-US"/>
    </w:rPr>
  </w:style>
  <w:style w:type="paragraph" w:styleId="NormalWeb">
    <w:name w:val="Normal (Web)"/>
    <w:basedOn w:val="Normal"/>
    <w:uiPriority w:val="99"/>
    <w:unhideWhenUsed/>
    <w:rsid w:val="00A35462"/>
    <w:pPr>
      <w:spacing w:before="100" w:beforeAutospacing="1" w:after="100" w:afterAutospacing="1"/>
    </w:pPr>
    <w:rPr>
      <w:rFonts w:ascii="Times New Roman" w:eastAsiaTheme="minorEastAsia" w:hAnsi="Times New Roman"/>
      <w:lang w:val="en-NZ" w:eastAsia="en-NZ"/>
    </w:rPr>
  </w:style>
  <w:style w:type="character" w:customStyle="1" w:styleId="BodyTextChar">
    <w:name w:val="Body Text Char"/>
    <w:basedOn w:val="DefaultParagraphFont"/>
    <w:link w:val="BodyText"/>
    <w:rsid w:val="001D6579"/>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377630705">
      <w:bodyDiv w:val="1"/>
      <w:marLeft w:val="0"/>
      <w:marRight w:val="0"/>
      <w:marTop w:val="0"/>
      <w:marBottom w:val="0"/>
      <w:divBdr>
        <w:top w:val="none" w:sz="0" w:space="0" w:color="auto"/>
        <w:left w:val="none" w:sz="0" w:space="0" w:color="auto"/>
        <w:bottom w:val="none" w:sz="0" w:space="0" w:color="auto"/>
        <w:right w:val="none" w:sz="0" w:space="0" w:color="auto"/>
      </w:divBdr>
    </w:div>
    <w:div w:id="110850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vt.nz/school/property/state-schools/property-occupancy-docume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D39FC-9468-49F4-B74B-CBDC3086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15</Pages>
  <Words>4675</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Panny Litras</dc:creator>
  <cp:lastModifiedBy>Melissa Idiens</cp:lastModifiedBy>
  <cp:revision>33</cp:revision>
  <cp:lastPrinted>2016-06-24T00:14:00Z</cp:lastPrinted>
  <dcterms:created xsi:type="dcterms:W3CDTF">2016-05-26T00:51:00Z</dcterms:created>
  <dcterms:modified xsi:type="dcterms:W3CDTF">2016-06-24T01:02:00Z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_DocHome">
    <vt:i4>-557996359</vt:i4>
  </property>
</Properties>
</file>