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68" w:rsidRDefault="00B4268F" w:rsidP="00EC4FE5">
      <w:pPr>
        <w:rPr>
          <w:rFonts w:ascii="Arial" w:hAnsi="Arial" w:cs="Arial"/>
          <w:b/>
          <w:color w:val="4F81BD" w:themeColor="accent1"/>
          <w:sz w:val="40"/>
          <w:szCs w:val="40"/>
        </w:rPr>
      </w:pPr>
      <w:r>
        <w:rPr>
          <w:rFonts w:ascii="Arial" w:hAnsi="Arial" w:cs="Arial"/>
          <w:b/>
          <w:noProof/>
          <w:color w:val="4F81BD" w:themeColor="accent1"/>
          <w:sz w:val="40"/>
          <w:szCs w:val="40"/>
          <w:lang w:val="en-NZ" w:eastAsia="en-NZ"/>
        </w:rPr>
        <w:pict>
          <v:shapetype id="_x0000_t202" coordsize="21600,21600" o:spt="202" path="m,l,21600r21600,l21600,xe">
            <v:stroke joinstyle="miter"/>
            <v:path gradientshapeok="t" o:connecttype="rect"/>
          </v:shapetype>
          <v:shape id="_x0000_s1027" type="#_x0000_t202" style="position:absolute;margin-left:-56.7pt;margin-top:-70.25pt;width:221.2pt;height:34.55pt;z-index:251663360;mso-width-relative:margin;mso-height-relative:margin" strokecolor="white [3212]">
            <v:textbox>
              <w:txbxContent>
                <w:p w:rsidR="00B4268F" w:rsidRPr="00692FF6" w:rsidRDefault="00B4268F" w:rsidP="00B4268F">
                  <w:pPr>
                    <w:rPr>
                      <w:lang w:val="en-NZ"/>
                    </w:rPr>
                  </w:pPr>
                  <w:r w:rsidRPr="00692FF6">
                    <w:rPr>
                      <w:b/>
                    </w:rPr>
                    <w:t xml:space="preserve">                                                           FOR ADVISORY GROUP USE ONLY                                                                              </w:t>
                  </w:r>
                </w:p>
                <w:p w:rsidR="00B4268F" w:rsidRDefault="00B4268F" w:rsidP="00B4268F"/>
              </w:txbxContent>
            </v:textbox>
          </v:shape>
        </w:pict>
      </w:r>
      <w:r w:rsidR="00D30D68" w:rsidRPr="00D30D68">
        <w:rPr>
          <w:rFonts w:ascii="Arial" w:hAnsi="Arial" w:cs="Arial"/>
          <w:b/>
          <w:noProof/>
          <w:color w:val="4F81BD" w:themeColor="accent1"/>
          <w:sz w:val="40"/>
          <w:szCs w:val="40"/>
          <w:lang w:val="en-NZ" w:eastAsia="en-NZ"/>
        </w:rPr>
        <w:drawing>
          <wp:anchor distT="0" distB="0" distL="114300" distR="114300" simplePos="0" relativeHeight="251659264" behindDoc="1" locked="0" layoutInCell="1" allowOverlap="1">
            <wp:simplePos x="0" y="0"/>
            <wp:positionH relativeFrom="page">
              <wp:posOffset>5476875</wp:posOffset>
            </wp:positionH>
            <wp:positionV relativeFrom="page">
              <wp:posOffset>-114300</wp:posOffset>
            </wp:positionV>
            <wp:extent cx="2188210" cy="1647825"/>
            <wp:effectExtent l="0" t="0" r="254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288" b="82629"/>
                    <a:stretch>
                      <a:fillRect/>
                    </a:stretch>
                  </pic:blipFill>
                  <pic:spPr bwMode="auto">
                    <a:xfrm>
                      <a:off x="0" y="0"/>
                      <a:ext cx="2188210" cy="1643380"/>
                    </a:xfrm>
                    <a:prstGeom prst="rect">
                      <a:avLst/>
                    </a:prstGeom>
                    <a:noFill/>
                  </pic:spPr>
                </pic:pic>
              </a:graphicData>
            </a:graphic>
          </wp:anchor>
        </w:drawing>
      </w: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B4268F" w:rsidP="00EC4FE5">
      <w:pPr>
        <w:rPr>
          <w:rFonts w:ascii="Arial" w:hAnsi="Arial" w:cs="Arial"/>
          <w:b/>
          <w:color w:val="4F81BD" w:themeColor="accent1"/>
          <w:sz w:val="40"/>
          <w:szCs w:val="40"/>
        </w:rPr>
      </w:pPr>
      <w:r>
        <w:rPr>
          <w:rFonts w:ascii="Arial" w:hAnsi="Arial" w:cs="Arial"/>
          <w:b/>
          <w:noProof/>
          <w:color w:val="4F81BD" w:themeColor="accent1"/>
          <w:sz w:val="40"/>
          <w:szCs w:val="40"/>
          <w:lang w:val="en-NZ" w:eastAsia="en-NZ"/>
        </w:rPr>
        <w:pict>
          <v:shape id="_x0000_s1026" type="#_x0000_t202" style="position:absolute;margin-left:-12pt;margin-top:-24.25pt;width:265.5pt;height:22.55pt;z-index:251662336;mso-width-relative:margin;mso-height-relative:margin" strokecolor="white [3212]">
            <v:textbox>
              <w:txbxContent>
                <w:p w:rsidR="00B4268F" w:rsidRPr="00692FF6" w:rsidRDefault="00B4268F" w:rsidP="00B4268F">
                  <w:pPr>
                    <w:rPr>
                      <w:lang w:val="en-NZ"/>
                    </w:rPr>
                  </w:pPr>
                  <w:r>
                    <w:rPr>
                      <w:b/>
                    </w:rPr>
                    <w:t xml:space="preserve">  DRAFT – NOT GOVERNMENT POLICY</w:t>
                  </w:r>
                </w:p>
                <w:p w:rsidR="00B4268F" w:rsidRDefault="00B4268F" w:rsidP="00B4268F"/>
              </w:txbxContent>
            </v:textbox>
          </v:shape>
        </w:pict>
      </w:r>
    </w:p>
    <w:p w:rsidR="00D30D68" w:rsidRDefault="00D30D68" w:rsidP="00EC4FE5">
      <w:pPr>
        <w:rPr>
          <w:rFonts w:ascii="Arial" w:hAnsi="Arial" w:cs="Arial"/>
          <w:b/>
          <w:color w:val="4F81BD" w:themeColor="accent1"/>
          <w:sz w:val="40"/>
          <w:szCs w:val="40"/>
        </w:rPr>
      </w:pPr>
      <w:r w:rsidRPr="00D30D68">
        <w:rPr>
          <w:rFonts w:ascii="Arial" w:hAnsi="Arial" w:cs="Arial"/>
          <w:b/>
          <w:noProof/>
          <w:color w:val="4F81BD" w:themeColor="accent1"/>
          <w:sz w:val="40"/>
          <w:szCs w:val="40"/>
          <w:lang w:val="en-NZ" w:eastAsia="en-NZ"/>
        </w:rPr>
        <w:drawing>
          <wp:anchor distT="0" distB="0" distL="114300" distR="114300" simplePos="0" relativeHeight="251661312" behindDoc="0" locked="0" layoutInCell="1" allowOverlap="1">
            <wp:simplePos x="0" y="0"/>
            <wp:positionH relativeFrom="column">
              <wp:posOffset>-266700</wp:posOffset>
            </wp:positionH>
            <wp:positionV relativeFrom="paragraph">
              <wp:posOffset>-2314575</wp:posOffset>
            </wp:positionV>
            <wp:extent cx="2657475" cy="676275"/>
            <wp:effectExtent l="19050" t="0" r="0" b="0"/>
            <wp:wrapSquare wrapText="bothSides"/>
            <wp:docPr id="6" name="Picture 0" descr="LOGO Ministry of 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Ministry of Education.JPG"/>
                    <pic:cNvPicPr>
                      <a:picLocks noChangeAspect="1" noChangeArrowheads="1"/>
                    </pic:cNvPicPr>
                  </pic:nvPicPr>
                  <pic:blipFill>
                    <a:blip r:embed="rId9" cstate="print"/>
                    <a:srcRect/>
                    <a:stretch>
                      <a:fillRect/>
                    </a:stretch>
                  </pic:blipFill>
                  <pic:spPr bwMode="auto">
                    <a:xfrm>
                      <a:off x="0" y="0"/>
                      <a:ext cx="2655570" cy="672465"/>
                    </a:xfrm>
                    <a:prstGeom prst="rect">
                      <a:avLst/>
                    </a:prstGeom>
                    <a:noFill/>
                    <a:ln w="9525">
                      <a:noFill/>
                      <a:miter lim="800000"/>
                      <a:headEnd/>
                      <a:tailEnd/>
                    </a:ln>
                  </pic:spPr>
                </pic:pic>
              </a:graphicData>
            </a:graphic>
          </wp:anchor>
        </w:drawing>
      </w:r>
    </w:p>
    <w:p w:rsidR="00D30D68" w:rsidRPr="008820F4" w:rsidRDefault="00D30D68" w:rsidP="00D30D68">
      <w:pPr>
        <w:pStyle w:val="Heading1"/>
        <w:spacing w:before="240"/>
        <w:jc w:val="right"/>
        <w:rPr>
          <w:rFonts w:cs="Arial"/>
          <w:color w:val="000000" w:themeColor="text1"/>
          <w:sz w:val="28"/>
          <w:szCs w:val="28"/>
        </w:rPr>
      </w:pPr>
      <w:r>
        <w:rPr>
          <w:rFonts w:ascii="Century Gothic" w:hAnsi="Century Gothic" w:cs="Arial"/>
        </w:rPr>
        <w:br/>
      </w:r>
      <w:r w:rsidRPr="008820F4">
        <w:rPr>
          <w:rFonts w:cs="Arial"/>
          <w:color w:val="000000" w:themeColor="text1"/>
          <w:sz w:val="28"/>
          <w:szCs w:val="28"/>
        </w:rPr>
        <w:t xml:space="preserve">Review of Funding Systems </w:t>
      </w:r>
    </w:p>
    <w:p w:rsidR="00D30D68" w:rsidRPr="008820F4" w:rsidRDefault="00D30D68" w:rsidP="00D30D68">
      <w:pPr>
        <w:pStyle w:val="Heading1"/>
        <w:spacing w:before="240"/>
        <w:jc w:val="right"/>
        <w:rPr>
          <w:rFonts w:cs="Arial"/>
          <w:color w:val="000000" w:themeColor="text1"/>
          <w:sz w:val="28"/>
          <w:szCs w:val="28"/>
        </w:rPr>
      </w:pPr>
      <w:r w:rsidRPr="008820F4">
        <w:rPr>
          <w:rFonts w:cs="Arial"/>
          <w:color w:val="000000" w:themeColor="text1"/>
          <w:sz w:val="28"/>
          <w:szCs w:val="28"/>
        </w:rPr>
        <w:t>Background paper for Advisory Group</w:t>
      </w:r>
    </w:p>
    <w:p w:rsidR="00D30D68" w:rsidRPr="00C85B25" w:rsidRDefault="00D30D68" w:rsidP="00D30D68">
      <w:pPr>
        <w:rPr>
          <w:rFonts w:ascii="Arial" w:hAnsi="Arial" w:cs="Arial"/>
          <w:color w:val="000000" w:themeColor="text1"/>
        </w:rPr>
      </w:pPr>
    </w:p>
    <w:p w:rsidR="00D30D68" w:rsidRPr="00C85B25" w:rsidRDefault="00D30D68" w:rsidP="00D30D68">
      <w:pPr>
        <w:rPr>
          <w:rFonts w:ascii="Arial" w:hAnsi="Arial" w:cs="Arial"/>
          <w:color w:val="000000" w:themeColor="text1"/>
        </w:rPr>
      </w:pPr>
    </w:p>
    <w:p w:rsidR="00D30D68" w:rsidRPr="00C85B25" w:rsidRDefault="00D30D68" w:rsidP="00D30D68">
      <w:pPr>
        <w:pStyle w:val="BodyText"/>
        <w:jc w:val="right"/>
        <w:rPr>
          <w:rFonts w:cs="Arial"/>
          <w:b/>
          <w:color w:val="000000" w:themeColor="text1"/>
          <w:sz w:val="40"/>
          <w:szCs w:val="40"/>
        </w:rPr>
      </w:pPr>
      <w:r>
        <w:rPr>
          <w:rFonts w:cs="Arial"/>
          <w:b/>
          <w:color w:val="000000" w:themeColor="text1"/>
          <w:sz w:val="40"/>
          <w:szCs w:val="40"/>
        </w:rPr>
        <w:t>F</w:t>
      </w:r>
      <w:r w:rsidRPr="00C85B25">
        <w:rPr>
          <w:rFonts w:cs="Arial"/>
          <w:b/>
          <w:color w:val="000000" w:themeColor="text1"/>
          <w:sz w:val="40"/>
          <w:szCs w:val="40"/>
        </w:rPr>
        <w:t xml:space="preserve">unding </w:t>
      </w:r>
      <w:r>
        <w:rPr>
          <w:rFonts w:cs="Arial"/>
          <w:b/>
          <w:color w:val="000000" w:themeColor="text1"/>
          <w:sz w:val="40"/>
          <w:szCs w:val="40"/>
        </w:rPr>
        <w:t>to support small schools</w:t>
      </w:r>
    </w:p>
    <w:p w:rsidR="00D30D68" w:rsidRPr="00C85B25" w:rsidRDefault="00D30D68" w:rsidP="00D30D68">
      <w:pPr>
        <w:pStyle w:val="BodyText"/>
        <w:jc w:val="right"/>
        <w:rPr>
          <w:rFonts w:cs="Arial"/>
          <w:b/>
          <w:color w:val="0070C0"/>
          <w:sz w:val="40"/>
          <w:szCs w:val="40"/>
        </w:rPr>
      </w:pPr>
    </w:p>
    <w:p w:rsidR="00D30D68" w:rsidRPr="00C85B25" w:rsidRDefault="00D30D68" w:rsidP="00D30D68">
      <w:pPr>
        <w:pStyle w:val="BodyText"/>
        <w:jc w:val="right"/>
        <w:rPr>
          <w:rFonts w:cs="Arial"/>
          <w:b/>
          <w:color w:val="0070C0"/>
          <w:sz w:val="40"/>
          <w:szCs w:val="40"/>
        </w:rPr>
      </w:pPr>
    </w:p>
    <w:p w:rsidR="00D30D68" w:rsidRPr="00C85B25" w:rsidRDefault="00D30D68" w:rsidP="00D30D68">
      <w:pPr>
        <w:pStyle w:val="BodyText"/>
        <w:jc w:val="right"/>
        <w:rPr>
          <w:rFonts w:cs="Arial"/>
          <w:b/>
          <w:color w:val="0070C0"/>
          <w:sz w:val="40"/>
          <w:szCs w:val="40"/>
        </w:rPr>
      </w:pPr>
    </w:p>
    <w:p w:rsidR="00D30D68" w:rsidRPr="00C85B25" w:rsidRDefault="00D30D68" w:rsidP="00D30D68">
      <w:pPr>
        <w:pStyle w:val="BodyText"/>
        <w:jc w:val="right"/>
        <w:rPr>
          <w:rFonts w:cs="Arial"/>
          <w:b/>
          <w:color w:val="0070C0"/>
          <w:sz w:val="40"/>
          <w:szCs w:val="40"/>
        </w:rPr>
      </w:pPr>
    </w:p>
    <w:p w:rsidR="00D30D68" w:rsidRPr="00C85B25" w:rsidRDefault="00D30D68" w:rsidP="00D30D68">
      <w:pPr>
        <w:pStyle w:val="BodyText"/>
        <w:jc w:val="right"/>
        <w:rPr>
          <w:rFonts w:cs="Arial"/>
          <w:b/>
          <w:color w:val="0070C0"/>
          <w:sz w:val="40"/>
          <w:szCs w:val="40"/>
        </w:rPr>
      </w:pPr>
    </w:p>
    <w:p w:rsidR="00D30D68" w:rsidRPr="00C85B25" w:rsidRDefault="00D30D68" w:rsidP="00D30D68">
      <w:pPr>
        <w:pStyle w:val="BodyText"/>
        <w:jc w:val="right"/>
        <w:rPr>
          <w:rFonts w:cs="Arial"/>
          <w:b/>
          <w:color w:val="0070C0"/>
          <w:sz w:val="40"/>
          <w:szCs w:val="40"/>
        </w:rPr>
      </w:pPr>
    </w:p>
    <w:p w:rsidR="00D30D68" w:rsidRPr="00C85B25" w:rsidRDefault="00D30D68" w:rsidP="00D30D68">
      <w:pPr>
        <w:pStyle w:val="BodyText"/>
        <w:jc w:val="right"/>
        <w:rPr>
          <w:rFonts w:cs="Arial"/>
        </w:rPr>
      </w:pPr>
    </w:p>
    <w:p w:rsidR="00D30D68" w:rsidRDefault="00B4268F" w:rsidP="00D30D68">
      <w:pPr>
        <w:jc w:val="right"/>
        <w:rPr>
          <w:rFonts w:ascii="Arial" w:hAnsi="Arial" w:cs="Arial"/>
          <w:b/>
          <w:color w:val="4F81BD" w:themeColor="accent1"/>
          <w:sz w:val="40"/>
          <w:szCs w:val="40"/>
        </w:rPr>
      </w:pPr>
      <w:r>
        <w:rPr>
          <w:rFonts w:cs="Arial"/>
        </w:rPr>
        <w:t>24</w:t>
      </w:r>
      <w:r w:rsidR="00D30D68" w:rsidRPr="00C85B25">
        <w:rPr>
          <w:rFonts w:cs="Arial"/>
        </w:rPr>
        <w:t xml:space="preserve"> June 2016</w:t>
      </w: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D30D68" w:rsidRDefault="00D30D68" w:rsidP="00EC4FE5">
      <w:pPr>
        <w:rPr>
          <w:rFonts w:ascii="Arial" w:hAnsi="Arial" w:cs="Arial"/>
          <w:b/>
          <w:color w:val="4F81BD" w:themeColor="accent1"/>
          <w:sz w:val="40"/>
          <w:szCs w:val="40"/>
        </w:rPr>
      </w:pPr>
    </w:p>
    <w:p w:rsidR="00363EE1" w:rsidRDefault="00363EE1" w:rsidP="00EC4FE5">
      <w:pPr>
        <w:rPr>
          <w:rFonts w:ascii="Arial" w:hAnsi="Arial" w:cs="Arial"/>
          <w:b/>
          <w:color w:val="4F81BD" w:themeColor="accent1"/>
          <w:sz w:val="40"/>
          <w:szCs w:val="40"/>
        </w:rPr>
      </w:pPr>
      <w:r w:rsidRPr="00363EE1">
        <w:rPr>
          <w:rFonts w:ascii="Arial" w:hAnsi="Arial" w:cs="Arial"/>
          <w:b/>
          <w:color w:val="4F81BD" w:themeColor="accent1"/>
          <w:sz w:val="40"/>
          <w:szCs w:val="40"/>
        </w:rPr>
        <w:lastRenderedPageBreak/>
        <w:t xml:space="preserve">Funding to </w:t>
      </w:r>
      <w:r w:rsidR="00F6461C">
        <w:rPr>
          <w:rFonts w:ascii="Arial" w:hAnsi="Arial" w:cs="Arial"/>
          <w:b/>
          <w:color w:val="4F81BD" w:themeColor="accent1"/>
          <w:sz w:val="40"/>
          <w:szCs w:val="40"/>
        </w:rPr>
        <w:t>s</w:t>
      </w:r>
      <w:r w:rsidRPr="00363EE1">
        <w:rPr>
          <w:rFonts w:ascii="Arial" w:hAnsi="Arial" w:cs="Arial"/>
          <w:b/>
          <w:color w:val="4F81BD" w:themeColor="accent1"/>
          <w:sz w:val="40"/>
          <w:szCs w:val="40"/>
        </w:rPr>
        <w:t xml:space="preserve">upport </w:t>
      </w:r>
      <w:r w:rsidR="00F6461C">
        <w:rPr>
          <w:rFonts w:ascii="Arial" w:hAnsi="Arial" w:cs="Arial"/>
          <w:b/>
          <w:color w:val="4F81BD" w:themeColor="accent1"/>
          <w:sz w:val="40"/>
          <w:szCs w:val="40"/>
        </w:rPr>
        <w:t>s</w:t>
      </w:r>
      <w:r w:rsidRPr="00363EE1">
        <w:rPr>
          <w:rFonts w:ascii="Arial" w:hAnsi="Arial" w:cs="Arial"/>
          <w:b/>
          <w:color w:val="4F81BD" w:themeColor="accent1"/>
          <w:sz w:val="40"/>
          <w:szCs w:val="40"/>
        </w:rPr>
        <w:t xml:space="preserve">mall </w:t>
      </w:r>
      <w:bookmarkStart w:id="0" w:name="_GoBack"/>
      <w:bookmarkEnd w:id="0"/>
      <w:r w:rsidR="00F6461C">
        <w:rPr>
          <w:rFonts w:ascii="Arial" w:hAnsi="Arial" w:cs="Arial"/>
          <w:b/>
          <w:color w:val="4F81BD" w:themeColor="accent1"/>
          <w:sz w:val="40"/>
          <w:szCs w:val="40"/>
        </w:rPr>
        <w:t>s</w:t>
      </w:r>
      <w:r w:rsidRPr="00363EE1">
        <w:rPr>
          <w:rFonts w:ascii="Arial" w:hAnsi="Arial" w:cs="Arial"/>
          <w:b/>
          <w:color w:val="4F81BD" w:themeColor="accent1"/>
          <w:sz w:val="40"/>
          <w:szCs w:val="40"/>
        </w:rPr>
        <w:t>chools</w:t>
      </w:r>
    </w:p>
    <w:p w:rsidR="00EC4FE5" w:rsidRPr="00EC4FE5" w:rsidRDefault="00EC4FE5" w:rsidP="00EC4FE5">
      <w:pPr>
        <w:rPr>
          <w:rFonts w:ascii="Arial" w:hAnsi="Arial" w:cs="Arial"/>
          <w:b/>
          <w:color w:val="4F81BD" w:themeColor="accent1"/>
        </w:rPr>
      </w:pPr>
    </w:p>
    <w:p w:rsidR="00DD48B2" w:rsidRDefault="00DD48B2" w:rsidP="00EC4FE5">
      <w:pPr>
        <w:rPr>
          <w:rFonts w:ascii="Arial" w:hAnsi="Arial" w:cs="Arial"/>
          <w:b/>
          <w:color w:val="4F81BD" w:themeColor="accent1"/>
        </w:rPr>
      </w:pPr>
      <w:r w:rsidRPr="00363EE1">
        <w:rPr>
          <w:rFonts w:ascii="Arial" w:hAnsi="Arial" w:cs="Arial"/>
          <w:b/>
          <w:color w:val="4F81BD" w:themeColor="accent1"/>
        </w:rPr>
        <w:t>Introduction</w:t>
      </w:r>
    </w:p>
    <w:p w:rsidR="00EC4FE5" w:rsidRPr="0018635E" w:rsidRDefault="00EC4FE5" w:rsidP="00EC4FE5">
      <w:pPr>
        <w:rPr>
          <w:rFonts w:ascii="Arial" w:hAnsi="Arial" w:cs="Arial"/>
          <w:sz w:val="22"/>
          <w:szCs w:val="22"/>
        </w:rPr>
      </w:pPr>
    </w:p>
    <w:p w:rsidR="00E46A9B" w:rsidRPr="00E46A9B" w:rsidRDefault="00E46A9B" w:rsidP="00E46A9B">
      <w:pPr>
        <w:pStyle w:val="BlueSubheading3"/>
        <w:spacing w:before="0" w:after="0"/>
        <w:jc w:val="both"/>
        <w:rPr>
          <w:b w:val="0"/>
          <w:color w:val="auto"/>
          <w:sz w:val="22"/>
        </w:rPr>
      </w:pPr>
      <w:r w:rsidRPr="00E46A9B">
        <w:rPr>
          <w:b w:val="0"/>
          <w:color w:val="auto"/>
          <w:sz w:val="22"/>
        </w:rPr>
        <w:t>The Review of Educa</w:t>
      </w:r>
      <w:r w:rsidR="00273C63">
        <w:rPr>
          <w:b w:val="0"/>
          <w:color w:val="auto"/>
          <w:sz w:val="22"/>
        </w:rPr>
        <w:t>tion Funding Systems for early learning</w:t>
      </w:r>
      <w:r w:rsidRPr="00E46A9B">
        <w:rPr>
          <w:b w:val="0"/>
          <w:color w:val="auto"/>
          <w:sz w:val="22"/>
        </w:rPr>
        <w:t xml:space="preserve"> and schooling is seeking, as part of the broader Education Work Programme, to ensure funding is directed to the size of the education challenge</w:t>
      </w:r>
      <w:r w:rsidR="00273C63">
        <w:rPr>
          <w:b w:val="0"/>
          <w:color w:val="auto"/>
          <w:sz w:val="22"/>
        </w:rPr>
        <w:t xml:space="preserve"> </w:t>
      </w:r>
      <w:r w:rsidR="00DB20F2">
        <w:rPr>
          <w:b w:val="0"/>
          <w:color w:val="auto"/>
          <w:sz w:val="22"/>
        </w:rPr>
        <w:t>early learning</w:t>
      </w:r>
      <w:r w:rsidRPr="00E46A9B">
        <w:rPr>
          <w:b w:val="0"/>
          <w:color w:val="auto"/>
          <w:sz w:val="22"/>
        </w:rPr>
        <w:t xml:space="preserve"> services</w:t>
      </w:r>
      <w:r w:rsidR="00C532A3">
        <w:rPr>
          <w:b w:val="0"/>
          <w:color w:val="auto"/>
          <w:sz w:val="22"/>
        </w:rPr>
        <w:t xml:space="preserve">, </w:t>
      </w:r>
      <w:r w:rsidRPr="00E46A9B">
        <w:rPr>
          <w:b w:val="0"/>
          <w:color w:val="auto"/>
          <w:sz w:val="22"/>
        </w:rPr>
        <w:t>schools and Communities of Learning face, and towards growing the learning and achievement of all children and young people</w:t>
      </w:r>
      <w:r>
        <w:rPr>
          <w:b w:val="0"/>
          <w:color w:val="auto"/>
          <w:sz w:val="22"/>
        </w:rPr>
        <w:t>.</w:t>
      </w:r>
    </w:p>
    <w:p w:rsidR="00E46A9B" w:rsidRDefault="00E46A9B" w:rsidP="00EC4FE5">
      <w:pPr>
        <w:pStyle w:val="BlueSubheading3"/>
        <w:spacing w:before="0" w:after="0"/>
        <w:jc w:val="both"/>
        <w:rPr>
          <w:b w:val="0"/>
          <w:color w:val="auto"/>
          <w:sz w:val="22"/>
        </w:rPr>
      </w:pPr>
    </w:p>
    <w:p w:rsidR="00363EE1" w:rsidRDefault="00363EE1" w:rsidP="00EC4FE5">
      <w:pPr>
        <w:pStyle w:val="BlueSubheading3"/>
        <w:spacing w:before="0" w:after="0"/>
        <w:jc w:val="both"/>
        <w:rPr>
          <w:b w:val="0"/>
          <w:color w:val="auto"/>
          <w:sz w:val="22"/>
        </w:rPr>
      </w:pPr>
      <w:r w:rsidRPr="007A687B">
        <w:rPr>
          <w:b w:val="0"/>
          <w:color w:val="auto"/>
          <w:sz w:val="22"/>
        </w:rPr>
        <w:t xml:space="preserve">The funding model </w:t>
      </w:r>
      <w:r>
        <w:rPr>
          <w:b w:val="0"/>
          <w:color w:val="auto"/>
          <w:sz w:val="22"/>
        </w:rPr>
        <w:t xml:space="preserve">we are exploring </w:t>
      </w:r>
      <w:r w:rsidRPr="007A687B">
        <w:rPr>
          <w:b w:val="0"/>
          <w:color w:val="auto"/>
          <w:sz w:val="22"/>
        </w:rPr>
        <w:t>th</w:t>
      </w:r>
      <w:r>
        <w:rPr>
          <w:b w:val="0"/>
          <w:color w:val="auto"/>
          <w:sz w:val="22"/>
        </w:rPr>
        <w:t xml:space="preserve">rough the Review comprises </w:t>
      </w:r>
      <w:r w:rsidRPr="007A687B">
        <w:rPr>
          <w:b w:val="0"/>
          <w:color w:val="auto"/>
          <w:sz w:val="22"/>
        </w:rPr>
        <w:t>a standard per-</w:t>
      </w:r>
      <w:r w:rsidR="00E841B4">
        <w:rPr>
          <w:b w:val="0"/>
          <w:color w:val="auto"/>
          <w:sz w:val="22"/>
        </w:rPr>
        <w:t>student</w:t>
      </w:r>
      <w:r w:rsidR="00E841B4" w:rsidRPr="007A687B">
        <w:rPr>
          <w:b w:val="0"/>
          <w:color w:val="auto"/>
          <w:sz w:val="22"/>
        </w:rPr>
        <w:t xml:space="preserve"> </w:t>
      </w:r>
      <w:r w:rsidRPr="007A687B">
        <w:rPr>
          <w:b w:val="0"/>
          <w:color w:val="auto"/>
          <w:sz w:val="22"/>
        </w:rPr>
        <w:t>funding amount</w:t>
      </w:r>
      <w:r>
        <w:rPr>
          <w:b w:val="0"/>
          <w:color w:val="auto"/>
          <w:sz w:val="22"/>
        </w:rPr>
        <w:t xml:space="preserve"> together with </w:t>
      </w:r>
      <w:r w:rsidRPr="007A687B">
        <w:rPr>
          <w:b w:val="0"/>
          <w:color w:val="auto"/>
          <w:sz w:val="22"/>
        </w:rPr>
        <w:t>a</w:t>
      </w:r>
      <w:r>
        <w:rPr>
          <w:b w:val="0"/>
          <w:color w:val="auto"/>
          <w:sz w:val="22"/>
        </w:rPr>
        <w:t>dditional</w:t>
      </w:r>
      <w:r w:rsidRPr="007A687B">
        <w:rPr>
          <w:b w:val="0"/>
          <w:color w:val="auto"/>
          <w:sz w:val="22"/>
        </w:rPr>
        <w:t xml:space="preserve"> </w:t>
      </w:r>
      <w:r w:rsidR="00B151BE">
        <w:rPr>
          <w:b w:val="0"/>
          <w:color w:val="auto"/>
          <w:sz w:val="22"/>
        </w:rPr>
        <w:t>funding</w:t>
      </w:r>
      <w:r w:rsidRPr="007A687B">
        <w:rPr>
          <w:b w:val="0"/>
          <w:color w:val="auto"/>
          <w:sz w:val="22"/>
        </w:rPr>
        <w:t xml:space="preserve"> for </w:t>
      </w:r>
      <w:r w:rsidR="00B151BE">
        <w:rPr>
          <w:b w:val="0"/>
          <w:color w:val="auto"/>
          <w:sz w:val="22"/>
        </w:rPr>
        <w:t>children and young people who are most at risk</w:t>
      </w:r>
      <w:r w:rsidRPr="007A687B">
        <w:rPr>
          <w:b w:val="0"/>
          <w:color w:val="auto"/>
          <w:sz w:val="22"/>
        </w:rPr>
        <w:t xml:space="preserve"> of educational under-achievement</w:t>
      </w:r>
      <w:r>
        <w:rPr>
          <w:b w:val="0"/>
          <w:color w:val="auto"/>
          <w:sz w:val="22"/>
        </w:rPr>
        <w:t xml:space="preserve">. The model envisages providing supplementary funding where necessary to maintain the educational viability of particular schools and services, consistent with ensuring </w:t>
      </w:r>
      <w:r w:rsidR="006E79CA">
        <w:rPr>
          <w:b w:val="0"/>
          <w:color w:val="auto"/>
          <w:sz w:val="22"/>
        </w:rPr>
        <w:t>a network of services and schools</w:t>
      </w:r>
      <w:r>
        <w:rPr>
          <w:b w:val="0"/>
          <w:color w:val="auto"/>
          <w:sz w:val="22"/>
        </w:rPr>
        <w:t xml:space="preserve">. </w:t>
      </w:r>
    </w:p>
    <w:p w:rsidR="00EC4FE5" w:rsidRDefault="00EC4FE5" w:rsidP="00EC4FE5">
      <w:pPr>
        <w:pStyle w:val="BlueSubheading3"/>
        <w:spacing w:before="0" w:after="0"/>
        <w:jc w:val="both"/>
        <w:rPr>
          <w:b w:val="0"/>
          <w:color w:val="auto"/>
          <w:sz w:val="22"/>
        </w:rPr>
      </w:pPr>
    </w:p>
    <w:p w:rsidR="00363EE1" w:rsidRDefault="00363EE1" w:rsidP="00EC4FE5">
      <w:pPr>
        <w:pStyle w:val="BlueSubheading3"/>
        <w:spacing w:before="0" w:after="0"/>
        <w:jc w:val="both"/>
        <w:rPr>
          <w:b w:val="0"/>
          <w:color w:val="auto"/>
          <w:sz w:val="22"/>
        </w:rPr>
      </w:pPr>
      <w:r w:rsidRPr="00363EE1">
        <w:rPr>
          <w:b w:val="0"/>
          <w:color w:val="auto"/>
          <w:sz w:val="22"/>
        </w:rPr>
        <w:t>The purpose of this paper is to inform thinking about the appropriate nature and lev</w:t>
      </w:r>
      <w:r>
        <w:rPr>
          <w:b w:val="0"/>
          <w:color w:val="auto"/>
          <w:sz w:val="22"/>
        </w:rPr>
        <w:t>el of this supplementary funding. The focus is on funding to support the educational viability of small schools.</w:t>
      </w:r>
    </w:p>
    <w:p w:rsidR="00EC4FE5" w:rsidRDefault="00EC4FE5" w:rsidP="00EC4FE5">
      <w:pPr>
        <w:pStyle w:val="BlueSubheading3"/>
        <w:spacing w:before="0" w:after="0"/>
        <w:jc w:val="both"/>
        <w:rPr>
          <w:b w:val="0"/>
          <w:color w:val="auto"/>
          <w:sz w:val="22"/>
        </w:rPr>
      </w:pPr>
    </w:p>
    <w:p w:rsidR="00BE16DD" w:rsidRDefault="00BE16DD" w:rsidP="00EC4FE5">
      <w:pPr>
        <w:pStyle w:val="BlueSubheading3"/>
        <w:spacing w:before="0" w:after="0"/>
        <w:jc w:val="both"/>
        <w:rPr>
          <w:b w:val="0"/>
          <w:color w:val="auto"/>
          <w:sz w:val="22"/>
        </w:rPr>
      </w:pPr>
      <w:r>
        <w:rPr>
          <w:b w:val="0"/>
          <w:color w:val="auto"/>
          <w:sz w:val="22"/>
        </w:rPr>
        <w:t xml:space="preserve">In this paper we outline and make a preliminary assessment of </w:t>
      </w:r>
      <w:r w:rsidR="00363EE1">
        <w:rPr>
          <w:b w:val="0"/>
          <w:color w:val="auto"/>
          <w:sz w:val="22"/>
        </w:rPr>
        <w:t xml:space="preserve">current funding arrangements, </w:t>
      </w:r>
      <w:r>
        <w:rPr>
          <w:b w:val="0"/>
          <w:color w:val="auto"/>
          <w:sz w:val="22"/>
        </w:rPr>
        <w:t>comprising</w:t>
      </w:r>
      <w:r w:rsidR="00363EE1">
        <w:rPr>
          <w:b w:val="0"/>
          <w:color w:val="auto"/>
          <w:sz w:val="22"/>
        </w:rPr>
        <w:t xml:space="preserve"> both operational grant funding and staffing entitlement, </w:t>
      </w:r>
      <w:r>
        <w:rPr>
          <w:b w:val="0"/>
          <w:color w:val="auto"/>
          <w:sz w:val="22"/>
        </w:rPr>
        <w:t>that have been designed to support small schools or have this effect. Some of these funding streams are referred to as base funding, while others are only loosely related to roll size and have the effect of delivering proportionately greater funding to small</w:t>
      </w:r>
      <w:r w:rsidR="00EF4994">
        <w:rPr>
          <w:b w:val="0"/>
          <w:color w:val="auto"/>
          <w:sz w:val="22"/>
        </w:rPr>
        <w:t>er</w:t>
      </w:r>
      <w:r>
        <w:rPr>
          <w:b w:val="0"/>
          <w:color w:val="auto"/>
          <w:sz w:val="22"/>
        </w:rPr>
        <w:t xml:space="preserve"> schools.  </w:t>
      </w:r>
    </w:p>
    <w:p w:rsidR="00EC4FE5" w:rsidRPr="0018635E" w:rsidRDefault="00EC4FE5" w:rsidP="00EC4FE5">
      <w:pPr>
        <w:pStyle w:val="BlueSubheading3"/>
        <w:spacing w:before="0" w:after="0"/>
        <w:jc w:val="both"/>
        <w:rPr>
          <w:b w:val="0"/>
          <w:color w:val="auto"/>
          <w:sz w:val="22"/>
        </w:rPr>
      </w:pPr>
    </w:p>
    <w:p w:rsidR="00DC3ACC" w:rsidRDefault="00DC3ACC" w:rsidP="00EC4FE5">
      <w:pPr>
        <w:rPr>
          <w:rFonts w:ascii="Arial" w:hAnsi="Arial" w:cs="Arial"/>
          <w:b/>
          <w:color w:val="4F81BD" w:themeColor="accent1"/>
        </w:rPr>
      </w:pPr>
      <w:r w:rsidRPr="00BE16DD">
        <w:rPr>
          <w:rFonts w:ascii="Arial" w:hAnsi="Arial" w:cs="Arial"/>
          <w:b/>
          <w:color w:val="4F81BD" w:themeColor="accent1"/>
        </w:rPr>
        <w:t xml:space="preserve">Interface between </w:t>
      </w:r>
      <w:r w:rsidR="00BE16DD">
        <w:rPr>
          <w:rFonts w:ascii="Arial" w:hAnsi="Arial" w:cs="Arial"/>
          <w:b/>
          <w:color w:val="4F81BD" w:themeColor="accent1"/>
        </w:rPr>
        <w:t>supplementary</w:t>
      </w:r>
      <w:r w:rsidRPr="00BE16DD">
        <w:rPr>
          <w:rFonts w:ascii="Arial" w:hAnsi="Arial" w:cs="Arial"/>
          <w:b/>
          <w:color w:val="4F81BD" w:themeColor="accent1"/>
        </w:rPr>
        <w:t xml:space="preserve"> funding and network </w:t>
      </w:r>
      <w:r w:rsidR="002339D3">
        <w:rPr>
          <w:rFonts w:ascii="Arial" w:hAnsi="Arial" w:cs="Arial"/>
          <w:b/>
          <w:color w:val="4F81BD" w:themeColor="accent1"/>
        </w:rPr>
        <w:t>design</w:t>
      </w:r>
    </w:p>
    <w:p w:rsidR="00EC4FE5" w:rsidRPr="0018635E" w:rsidRDefault="00EC4FE5" w:rsidP="00EC4FE5">
      <w:pPr>
        <w:rPr>
          <w:rFonts w:ascii="Arial" w:hAnsi="Arial" w:cs="Arial"/>
          <w:b/>
          <w:color w:val="4F81BD" w:themeColor="accent1"/>
          <w:sz w:val="22"/>
          <w:szCs w:val="22"/>
        </w:rPr>
      </w:pPr>
    </w:p>
    <w:p w:rsidR="002339D3" w:rsidRDefault="00D21FFE" w:rsidP="00EC4FE5">
      <w:pPr>
        <w:pStyle w:val="BlueSubheading3"/>
        <w:spacing w:before="0" w:after="0"/>
        <w:jc w:val="both"/>
        <w:rPr>
          <w:b w:val="0"/>
          <w:color w:val="auto"/>
          <w:sz w:val="22"/>
        </w:rPr>
      </w:pPr>
      <w:r w:rsidRPr="00BE16DD">
        <w:rPr>
          <w:b w:val="0"/>
          <w:color w:val="auto"/>
          <w:sz w:val="22"/>
        </w:rPr>
        <w:t xml:space="preserve">The provision of </w:t>
      </w:r>
      <w:r w:rsidR="00BE16DD">
        <w:rPr>
          <w:b w:val="0"/>
          <w:color w:val="auto"/>
          <w:sz w:val="22"/>
        </w:rPr>
        <w:t xml:space="preserve">supplementary </w:t>
      </w:r>
      <w:r w:rsidR="002339D3">
        <w:rPr>
          <w:b w:val="0"/>
          <w:color w:val="auto"/>
          <w:sz w:val="22"/>
        </w:rPr>
        <w:t xml:space="preserve">(or base) </w:t>
      </w:r>
      <w:r w:rsidR="00BE16DD">
        <w:rPr>
          <w:b w:val="0"/>
          <w:color w:val="auto"/>
          <w:sz w:val="22"/>
        </w:rPr>
        <w:t xml:space="preserve">funding increases </w:t>
      </w:r>
      <w:r w:rsidRPr="00BE16DD">
        <w:rPr>
          <w:b w:val="0"/>
          <w:color w:val="auto"/>
          <w:sz w:val="22"/>
        </w:rPr>
        <w:t xml:space="preserve">average per-student government </w:t>
      </w:r>
      <w:r w:rsidR="002339D3">
        <w:rPr>
          <w:b w:val="0"/>
          <w:color w:val="auto"/>
          <w:sz w:val="22"/>
        </w:rPr>
        <w:t xml:space="preserve">expenditure </w:t>
      </w:r>
      <w:r w:rsidRPr="00BE16DD">
        <w:rPr>
          <w:b w:val="0"/>
          <w:color w:val="auto"/>
          <w:sz w:val="22"/>
        </w:rPr>
        <w:t xml:space="preserve">for students </w:t>
      </w:r>
      <w:r w:rsidR="002339D3">
        <w:rPr>
          <w:b w:val="0"/>
          <w:color w:val="auto"/>
          <w:sz w:val="22"/>
        </w:rPr>
        <w:t xml:space="preserve">who attend small compared to </w:t>
      </w:r>
      <w:r w:rsidRPr="00BE16DD">
        <w:rPr>
          <w:b w:val="0"/>
          <w:color w:val="auto"/>
          <w:sz w:val="22"/>
        </w:rPr>
        <w:t xml:space="preserve">larger schools.  From an efficiency </w:t>
      </w:r>
      <w:r w:rsidR="002339D3">
        <w:rPr>
          <w:b w:val="0"/>
          <w:color w:val="auto"/>
          <w:sz w:val="22"/>
        </w:rPr>
        <w:t xml:space="preserve">and value for money perspective it is important that </w:t>
      </w:r>
      <w:r w:rsidR="00BE16DD">
        <w:rPr>
          <w:b w:val="0"/>
          <w:color w:val="auto"/>
          <w:sz w:val="22"/>
        </w:rPr>
        <w:t xml:space="preserve">funding to support the viability of smaller schools sits alongside active network management.  </w:t>
      </w:r>
    </w:p>
    <w:p w:rsidR="00EC4FE5" w:rsidRDefault="00EC4FE5" w:rsidP="00EC4FE5">
      <w:pPr>
        <w:pStyle w:val="BlueSubheading3"/>
        <w:spacing w:before="0" w:after="0"/>
        <w:jc w:val="both"/>
        <w:rPr>
          <w:b w:val="0"/>
          <w:color w:val="auto"/>
          <w:sz w:val="22"/>
        </w:rPr>
      </w:pPr>
    </w:p>
    <w:p w:rsidR="00CA2612" w:rsidRDefault="002339D3" w:rsidP="00CA2612">
      <w:pPr>
        <w:pStyle w:val="BlueSubheading3"/>
        <w:spacing w:before="0" w:after="0"/>
        <w:jc w:val="both"/>
        <w:rPr>
          <w:b w:val="0"/>
          <w:color w:val="auto"/>
          <w:sz w:val="22"/>
        </w:rPr>
      </w:pPr>
      <w:r w:rsidRPr="006327F9">
        <w:rPr>
          <w:b w:val="0"/>
          <w:color w:val="auto"/>
          <w:sz w:val="22"/>
        </w:rPr>
        <w:t>The level and design of supplementary funding has the potential to influence incentives for communities seek</w:t>
      </w:r>
      <w:r w:rsidR="00E841B4">
        <w:rPr>
          <w:b w:val="0"/>
          <w:color w:val="auto"/>
          <w:sz w:val="22"/>
        </w:rPr>
        <w:t>ing</w:t>
      </w:r>
      <w:r w:rsidRPr="006327F9">
        <w:rPr>
          <w:b w:val="0"/>
          <w:color w:val="auto"/>
          <w:sz w:val="22"/>
        </w:rPr>
        <w:t xml:space="preserve"> to establish and retain particular schools. </w:t>
      </w:r>
    </w:p>
    <w:p w:rsidR="00EC4FE5" w:rsidRPr="0018635E" w:rsidRDefault="00EC4FE5" w:rsidP="00EC4FE5">
      <w:pPr>
        <w:pStyle w:val="BlueSubheading3"/>
        <w:spacing w:before="0" w:after="0"/>
        <w:jc w:val="both"/>
        <w:rPr>
          <w:b w:val="0"/>
          <w:color w:val="auto"/>
          <w:sz w:val="22"/>
        </w:rPr>
      </w:pPr>
    </w:p>
    <w:p w:rsidR="00C67F3F" w:rsidRDefault="001A03DD" w:rsidP="00EC4FE5">
      <w:pPr>
        <w:rPr>
          <w:rFonts w:ascii="Arial" w:hAnsi="Arial" w:cs="Arial"/>
          <w:b/>
          <w:color w:val="4F81BD" w:themeColor="accent1"/>
        </w:rPr>
      </w:pPr>
      <w:r>
        <w:rPr>
          <w:rFonts w:ascii="Arial" w:hAnsi="Arial" w:cs="Arial"/>
          <w:b/>
          <w:color w:val="4F81BD" w:themeColor="accent1"/>
        </w:rPr>
        <w:t>The structure of the school network</w:t>
      </w:r>
    </w:p>
    <w:p w:rsidR="00EC4FE5" w:rsidRPr="0018635E" w:rsidRDefault="00EC4FE5" w:rsidP="00EC4FE5">
      <w:pPr>
        <w:rPr>
          <w:rFonts w:ascii="Arial" w:hAnsi="Arial" w:cs="Arial"/>
          <w:b/>
          <w:color w:val="4F81BD" w:themeColor="accent1"/>
          <w:sz w:val="22"/>
          <w:szCs w:val="22"/>
        </w:rPr>
      </w:pPr>
    </w:p>
    <w:p w:rsidR="00C67F3F" w:rsidRDefault="00C67F3F" w:rsidP="00EC4FE5">
      <w:pPr>
        <w:pStyle w:val="BlueSubheading3"/>
        <w:spacing w:before="0" w:after="0"/>
        <w:jc w:val="both"/>
        <w:rPr>
          <w:b w:val="0"/>
          <w:color w:val="auto"/>
          <w:sz w:val="22"/>
        </w:rPr>
      </w:pPr>
      <w:r w:rsidRPr="00CC1687">
        <w:rPr>
          <w:b w:val="0"/>
          <w:color w:val="auto"/>
          <w:sz w:val="22"/>
        </w:rPr>
        <w:t xml:space="preserve">Small primary schools </w:t>
      </w:r>
      <w:r w:rsidR="006327F9" w:rsidRPr="00CC1687">
        <w:rPr>
          <w:b w:val="0"/>
          <w:color w:val="auto"/>
          <w:sz w:val="22"/>
        </w:rPr>
        <w:t>are a particular feature of the network of state and state-integrated schools</w:t>
      </w:r>
      <w:r w:rsidR="00CC1687">
        <w:rPr>
          <w:b w:val="0"/>
          <w:color w:val="auto"/>
          <w:sz w:val="22"/>
        </w:rPr>
        <w:t xml:space="preserve">. </w:t>
      </w:r>
      <w:r w:rsidR="009C4E7B">
        <w:rPr>
          <w:b w:val="0"/>
          <w:color w:val="auto"/>
          <w:sz w:val="22"/>
        </w:rPr>
        <w:t>I</w:t>
      </w:r>
      <w:r w:rsidRPr="00CC1687">
        <w:rPr>
          <w:b w:val="0"/>
          <w:color w:val="auto"/>
          <w:sz w:val="22"/>
        </w:rPr>
        <w:t>n 2015</w:t>
      </w:r>
      <w:r w:rsidR="006327F9" w:rsidRPr="00CC1687">
        <w:rPr>
          <w:b w:val="0"/>
          <w:color w:val="auto"/>
          <w:sz w:val="22"/>
        </w:rPr>
        <w:t>, 33</w:t>
      </w:r>
      <w:r w:rsidRPr="00CC1687">
        <w:rPr>
          <w:b w:val="0"/>
          <w:color w:val="auto"/>
          <w:sz w:val="22"/>
        </w:rPr>
        <w:t xml:space="preserve">% of contributing and full primary schools had rolls of </w:t>
      </w:r>
      <w:r w:rsidR="006327F9" w:rsidRPr="00CC1687">
        <w:rPr>
          <w:b w:val="0"/>
          <w:color w:val="auto"/>
          <w:sz w:val="22"/>
        </w:rPr>
        <w:t xml:space="preserve">100 or fewer students, and </w:t>
      </w:r>
      <w:r w:rsidRPr="00CC1687">
        <w:rPr>
          <w:b w:val="0"/>
          <w:color w:val="auto"/>
          <w:sz w:val="22"/>
        </w:rPr>
        <w:t xml:space="preserve">19% had 50 or fewer </w:t>
      </w:r>
      <w:r w:rsidR="006327F9" w:rsidRPr="00CC1687">
        <w:rPr>
          <w:b w:val="0"/>
          <w:color w:val="auto"/>
          <w:sz w:val="22"/>
        </w:rPr>
        <w:t>students</w:t>
      </w:r>
      <w:r w:rsidR="009C4E7B">
        <w:rPr>
          <w:b w:val="0"/>
          <w:color w:val="auto"/>
          <w:sz w:val="22"/>
        </w:rPr>
        <w:t xml:space="preserve">. </w:t>
      </w:r>
    </w:p>
    <w:p w:rsidR="00B151BE" w:rsidRPr="00CC1687" w:rsidRDefault="00B151BE" w:rsidP="00EC4FE5">
      <w:pPr>
        <w:pStyle w:val="BlueSubheading3"/>
        <w:spacing w:before="0" w:after="0"/>
        <w:jc w:val="both"/>
        <w:rPr>
          <w:b w:val="0"/>
          <w:color w:val="auto"/>
          <w:sz w:val="22"/>
        </w:rPr>
      </w:pPr>
    </w:p>
    <w:p w:rsidR="00CC1687" w:rsidRDefault="00C67F3F" w:rsidP="00EC4FE5">
      <w:pPr>
        <w:pStyle w:val="BlueSubheading3"/>
        <w:spacing w:before="0" w:after="0"/>
        <w:jc w:val="both"/>
        <w:rPr>
          <w:b w:val="0"/>
          <w:color w:val="auto"/>
          <w:sz w:val="22"/>
        </w:rPr>
      </w:pPr>
      <w:r w:rsidRPr="00CC1687">
        <w:rPr>
          <w:b w:val="0"/>
          <w:color w:val="auto"/>
          <w:sz w:val="22"/>
        </w:rPr>
        <w:t xml:space="preserve">Small </w:t>
      </w:r>
      <w:r w:rsidR="003A55AF">
        <w:rPr>
          <w:b w:val="0"/>
          <w:color w:val="auto"/>
          <w:sz w:val="22"/>
        </w:rPr>
        <w:t>intermediate schools</w:t>
      </w:r>
      <w:r w:rsidRPr="00CC1687">
        <w:rPr>
          <w:b w:val="0"/>
          <w:color w:val="auto"/>
          <w:sz w:val="22"/>
        </w:rPr>
        <w:t xml:space="preserve"> are not as common</w:t>
      </w:r>
      <w:r w:rsidR="004226DC">
        <w:rPr>
          <w:b w:val="0"/>
          <w:color w:val="auto"/>
          <w:sz w:val="22"/>
        </w:rPr>
        <w:t xml:space="preserve">. In 2015, </w:t>
      </w:r>
      <w:r w:rsidR="00C06626">
        <w:rPr>
          <w:b w:val="0"/>
          <w:color w:val="auto"/>
          <w:sz w:val="22"/>
        </w:rPr>
        <w:t>10</w:t>
      </w:r>
      <w:r w:rsidR="00170F0B">
        <w:rPr>
          <w:b w:val="0"/>
          <w:color w:val="auto"/>
          <w:sz w:val="22"/>
        </w:rPr>
        <w:t>%</w:t>
      </w:r>
      <w:r w:rsidRPr="00CC1687">
        <w:rPr>
          <w:b w:val="0"/>
          <w:color w:val="auto"/>
          <w:sz w:val="22"/>
        </w:rPr>
        <w:t xml:space="preserve"> </w:t>
      </w:r>
      <w:r w:rsidR="00170F0B">
        <w:rPr>
          <w:b w:val="0"/>
          <w:color w:val="auto"/>
          <w:sz w:val="22"/>
        </w:rPr>
        <w:t xml:space="preserve">of </w:t>
      </w:r>
      <w:r w:rsidRPr="00CC1687">
        <w:rPr>
          <w:b w:val="0"/>
          <w:color w:val="auto"/>
          <w:sz w:val="22"/>
        </w:rPr>
        <w:t>intermediate</w:t>
      </w:r>
      <w:r w:rsidR="004226DC">
        <w:rPr>
          <w:b w:val="0"/>
          <w:color w:val="auto"/>
          <w:sz w:val="22"/>
        </w:rPr>
        <w:t xml:space="preserve"> schools had</w:t>
      </w:r>
      <w:r w:rsidR="00CC1687">
        <w:rPr>
          <w:b w:val="0"/>
          <w:color w:val="auto"/>
          <w:sz w:val="22"/>
        </w:rPr>
        <w:t xml:space="preserve"> a </w:t>
      </w:r>
      <w:r w:rsidRPr="00CC1687">
        <w:rPr>
          <w:b w:val="0"/>
          <w:color w:val="auto"/>
          <w:sz w:val="22"/>
        </w:rPr>
        <w:t xml:space="preserve">roll </w:t>
      </w:r>
      <w:r w:rsidR="00CC1687">
        <w:rPr>
          <w:b w:val="0"/>
          <w:color w:val="auto"/>
          <w:sz w:val="22"/>
        </w:rPr>
        <w:t>of between 10</w:t>
      </w:r>
      <w:r w:rsidR="009C4E7B">
        <w:rPr>
          <w:b w:val="0"/>
          <w:color w:val="auto"/>
          <w:sz w:val="22"/>
        </w:rPr>
        <w:t xml:space="preserve">1 </w:t>
      </w:r>
      <w:r w:rsidR="00CC1687">
        <w:rPr>
          <w:b w:val="0"/>
          <w:color w:val="auto"/>
          <w:sz w:val="22"/>
        </w:rPr>
        <w:t xml:space="preserve">and </w:t>
      </w:r>
      <w:r w:rsidRPr="00CC1687">
        <w:rPr>
          <w:b w:val="0"/>
          <w:color w:val="auto"/>
          <w:sz w:val="22"/>
        </w:rPr>
        <w:t xml:space="preserve">200 </w:t>
      </w:r>
      <w:r w:rsidR="009C4E7B">
        <w:rPr>
          <w:b w:val="0"/>
          <w:color w:val="auto"/>
          <w:sz w:val="22"/>
        </w:rPr>
        <w:t>students</w:t>
      </w:r>
      <w:r w:rsidR="004226DC">
        <w:rPr>
          <w:b w:val="0"/>
          <w:color w:val="auto"/>
          <w:sz w:val="22"/>
        </w:rPr>
        <w:t>.</w:t>
      </w:r>
      <w:r w:rsidR="009C4E7B">
        <w:rPr>
          <w:b w:val="0"/>
          <w:color w:val="auto"/>
          <w:sz w:val="22"/>
        </w:rPr>
        <w:t xml:space="preserve"> </w:t>
      </w:r>
      <w:r w:rsidR="004226DC">
        <w:rPr>
          <w:b w:val="0"/>
          <w:color w:val="auto"/>
          <w:sz w:val="22"/>
        </w:rPr>
        <w:t>There were no</w:t>
      </w:r>
      <w:r w:rsidR="009C4E7B">
        <w:rPr>
          <w:b w:val="0"/>
          <w:color w:val="auto"/>
          <w:sz w:val="22"/>
        </w:rPr>
        <w:t xml:space="preserve"> intermediate schools with a roll of less than 100.</w:t>
      </w:r>
    </w:p>
    <w:p w:rsidR="00B151BE" w:rsidRDefault="00B151BE" w:rsidP="00EC4FE5">
      <w:pPr>
        <w:pStyle w:val="BlueSubheading3"/>
        <w:spacing w:before="0" w:after="0"/>
        <w:jc w:val="both"/>
        <w:rPr>
          <w:b w:val="0"/>
          <w:color w:val="auto"/>
          <w:sz w:val="22"/>
        </w:rPr>
      </w:pPr>
    </w:p>
    <w:p w:rsidR="00EC4FE5" w:rsidRDefault="00C67F3F" w:rsidP="00EC4FE5">
      <w:pPr>
        <w:pStyle w:val="MoENumberedList"/>
        <w:spacing w:after="0"/>
        <w:ind w:left="0" w:firstLine="0"/>
        <w:jc w:val="both"/>
        <w:rPr>
          <w:sz w:val="22"/>
        </w:rPr>
      </w:pPr>
      <w:r w:rsidRPr="00D14A38">
        <w:rPr>
          <w:sz w:val="22"/>
        </w:rPr>
        <w:t>Among secondary schools</w:t>
      </w:r>
      <w:r w:rsidR="009C4E7B">
        <w:rPr>
          <w:sz w:val="22"/>
        </w:rPr>
        <w:t xml:space="preserve"> </w:t>
      </w:r>
      <w:r w:rsidR="00C06626" w:rsidRPr="00BF7F01">
        <w:rPr>
          <w:sz w:val="22"/>
        </w:rPr>
        <w:t>7</w:t>
      </w:r>
      <w:r w:rsidRPr="00BF7F01">
        <w:rPr>
          <w:sz w:val="22"/>
        </w:rPr>
        <w:t>%</w:t>
      </w:r>
      <w:r w:rsidRPr="00D14A38">
        <w:rPr>
          <w:sz w:val="22"/>
        </w:rPr>
        <w:t xml:space="preserve"> have a roll of 200 or less, </w:t>
      </w:r>
      <w:r>
        <w:rPr>
          <w:sz w:val="22"/>
        </w:rPr>
        <w:t xml:space="preserve">while </w:t>
      </w:r>
      <w:r w:rsidR="00BF7F01">
        <w:rPr>
          <w:sz w:val="22"/>
        </w:rPr>
        <w:t>2</w:t>
      </w:r>
      <w:r w:rsidRPr="00D14A38">
        <w:rPr>
          <w:sz w:val="22"/>
        </w:rPr>
        <w:t xml:space="preserve">% </w:t>
      </w:r>
      <w:r>
        <w:rPr>
          <w:sz w:val="22"/>
        </w:rPr>
        <w:t xml:space="preserve">have </w:t>
      </w:r>
      <w:r w:rsidRPr="00D14A38">
        <w:rPr>
          <w:sz w:val="22"/>
        </w:rPr>
        <w:t xml:space="preserve">a roll of 100 or less. </w:t>
      </w:r>
    </w:p>
    <w:p w:rsidR="00C67F3F" w:rsidRDefault="00C67F3F" w:rsidP="00EC4FE5">
      <w:pPr>
        <w:pStyle w:val="MoENumberedList"/>
        <w:spacing w:after="0"/>
        <w:ind w:left="0" w:firstLine="0"/>
        <w:jc w:val="both"/>
        <w:rPr>
          <w:sz w:val="22"/>
        </w:rPr>
      </w:pPr>
      <w:r w:rsidRPr="00CC1687">
        <w:rPr>
          <w:sz w:val="22"/>
        </w:rPr>
        <w:t>Perhaps the greatest change in the network over recent years has been the increase in the number of composite schools</w:t>
      </w:r>
      <w:r w:rsidR="00375F06">
        <w:rPr>
          <w:sz w:val="22"/>
        </w:rPr>
        <w:t>, particularly those with small rolls</w:t>
      </w:r>
      <w:r w:rsidRPr="00CC1687">
        <w:rPr>
          <w:sz w:val="22"/>
        </w:rPr>
        <w:t>; 63% have rolls</w:t>
      </w:r>
      <w:r w:rsidR="003A55AF">
        <w:rPr>
          <w:sz w:val="22"/>
        </w:rPr>
        <w:t xml:space="preserve"> of</w:t>
      </w:r>
      <w:r w:rsidRPr="00CC1687">
        <w:rPr>
          <w:sz w:val="22"/>
        </w:rPr>
        <w:t xml:space="preserve"> less than 200</w:t>
      </w:r>
      <w:r w:rsidRPr="00D14A38">
        <w:rPr>
          <w:sz w:val="22"/>
        </w:rPr>
        <w:t xml:space="preserve"> while </w:t>
      </w:r>
      <w:r w:rsidR="00BF7F01">
        <w:rPr>
          <w:sz w:val="22"/>
        </w:rPr>
        <w:t>26</w:t>
      </w:r>
      <w:r w:rsidRPr="00D14A38">
        <w:rPr>
          <w:sz w:val="22"/>
        </w:rPr>
        <w:t xml:space="preserve">% have rolls of 100 or less. </w:t>
      </w:r>
      <w:r w:rsidR="00E841B4">
        <w:rPr>
          <w:sz w:val="22"/>
        </w:rPr>
        <w:t>One component of this increase is the establishment of wharekura.</w:t>
      </w:r>
    </w:p>
    <w:p w:rsidR="00450A43" w:rsidRDefault="00450A43" w:rsidP="00EC4FE5">
      <w:pPr>
        <w:pStyle w:val="MoENumberedList"/>
        <w:spacing w:after="0"/>
        <w:ind w:left="0" w:firstLine="0"/>
        <w:jc w:val="both"/>
        <w:rPr>
          <w:sz w:val="22"/>
        </w:rPr>
      </w:pPr>
    </w:p>
    <w:p w:rsidR="00450A43" w:rsidRDefault="00450A43" w:rsidP="00EC4FE5">
      <w:pPr>
        <w:pStyle w:val="MoENumberedList"/>
        <w:spacing w:after="0"/>
        <w:ind w:left="0" w:firstLine="0"/>
        <w:jc w:val="both"/>
        <w:rPr>
          <w:sz w:val="22"/>
        </w:rPr>
      </w:pPr>
      <w:r>
        <w:rPr>
          <w:sz w:val="22"/>
        </w:rPr>
        <w:t>Communities of Learning and other school clustering arrangements are presenting new opportunities and ways to think about the network.</w:t>
      </w:r>
      <w:r w:rsidR="008346ED">
        <w:rPr>
          <w:sz w:val="22"/>
        </w:rPr>
        <w:t xml:space="preserve"> </w:t>
      </w:r>
    </w:p>
    <w:p w:rsidR="00CA2612" w:rsidRDefault="00CA2612">
      <w:pPr>
        <w:rPr>
          <w:rFonts w:ascii="Arial" w:eastAsiaTheme="minorHAnsi" w:hAnsi="Arial" w:cstheme="minorBidi"/>
          <w:sz w:val="22"/>
          <w:szCs w:val="22"/>
          <w:lang w:val="en-NZ"/>
        </w:rPr>
      </w:pPr>
      <w:r>
        <w:rPr>
          <w:sz w:val="22"/>
        </w:rPr>
        <w:br w:type="page"/>
      </w:r>
    </w:p>
    <w:p w:rsidR="00472D21" w:rsidRPr="008654AB" w:rsidRDefault="00B151BE" w:rsidP="00EC4FE5">
      <w:pPr>
        <w:rPr>
          <w:rFonts w:ascii="Arial" w:hAnsi="Arial" w:cs="Arial"/>
          <w:b/>
          <w:color w:val="4F81BD" w:themeColor="accent1"/>
        </w:rPr>
      </w:pPr>
      <w:r>
        <w:rPr>
          <w:rFonts w:ascii="Arial" w:hAnsi="Arial" w:cs="Arial"/>
          <w:b/>
          <w:color w:val="4F81BD" w:themeColor="accent1"/>
        </w:rPr>
        <w:t>Base operational g</w:t>
      </w:r>
      <w:r w:rsidR="008654AB" w:rsidRPr="008654AB">
        <w:rPr>
          <w:rFonts w:ascii="Arial" w:hAnsi="Arial" w:cs="Arial"/>
          <w:b/>
          <w:color w:val="4F81BD" w:themeColor="accent1"/>
        </w:rPr>
        <w:t>ra</w:t>
      </w:r>
      <w:r>
        <w:rPr>
          <w:rFonts w:ascii="Arial" w:hAnsi="Arial" w:cs="Arial"/>
          <w:b/>
          <w:color w:val="4F81BD" w:themeColor="accent1"/>
        </w:rPr>
        <w:t>nt f</w:t>
      </w:r>
      <w:r w:rsidR="008654AB" w:rsidRPr="008654AB">
        <w:rPr>
          <w:rFonts w:ascii="Arial" w:hAnsi="Arial" w:cs="Arial"/>
          <w:b/>
          <w:color w:val="4F81BD" w:themeColor="accent1"/>
        </w:rPr>
        <w:t xml:space="preserve">unding </w:t>
      </w:r>
    </w:p>
    <w:p w:rsidR="00472D21" w:rsidRPr="0018635E" w:rsidRDefault="00472D21" w:rsidP="00EC4FE5">
      <w:pPr>
        <w:rPr>
          <w:rFonts w:ascii="Arial" w:hAnsi="Arial" w:cs="Arial"/>
          <w:b/>
          <w:color w:val="4F81BD" w:themeColor="accent1"/>
          <w:sz w:val="22"/>
          <w:szCs w:val="22"/>
        </w:rPr>
      </w:pPr>
    </w:p>
    <w:p w:rsidR="00ED107F" w:rsidRPr="008654AB" w:rsidRDefault="008654AB" w:rsidP="00EC4FE5">
      <w:pPr>
        <w:pStyle w:val="MoENumberedList"/>
        <w:spacing w:after="0"/>
        <w:ind w:left="0" w:firstLine="0"/>
        <w:jc w:val="both"/>
        <w:rPr>
          <w:sz w:val="22"/>
        </w:rPr>
      </w:pPr>
      <w:r w:rsidRPr="008654AB">
        <w:rPr>
          <w:sz w:val="22"/>
        </w:rPr>
        <w:t>Schools</w:t>
      </w:r>
      <w:r w:rsidR="004E47CB">
        <w:rPr>
          <w:sz w:val="22"/>
        </w:rPr>
        <w:t>’</w:t>
      </w:r>
      <w:r w:rsidRPr="008654AB">
        <w:rPr>
          <w:sz w:val="22"/>
        </w:rPr>
        <w:t xml:space="preserve"> operational grant funding includes a specific base component which differs by school type. In </w:t>
      </w:r>
      <w:r w:rsidR="009E0790">
        <w:rPr>
          <w:sz w:val="22"/>
        </w:rPr>
        <w:t xml:space="preserve">the </w:t>
      </w:r>
      <w:r w:rsidRPr="008654AB">
        <w:rPr>
          <w:sz w:val="22"/>
        </w:rPr>
        <w:t>2015 school year</w:t>
      </w:r>
      <w:r w:rsidR="009E0790">
        <w:rPr>
          <w:sz w:val="22"/>
        </w:rPr>
        <w:t>,</w:t>
      </w:r>
      <w:r w:rsidRPr="008654AB">
        <w:rPr>
          <w:sz w:val="22"/>
        </w:rPr>
        <w:t xml:space="preserve"> total base funding was </w:t>
      </w:r>
      <w:r w:rsidR="00012CA2">
        <w:rPr>
          <w:sz w:val="22"/>
        </w:rPr>
        <w:t>$77.1</w:t>
      </w:r>
      <w:r w:rsidRPr="008654AB">
        <w:rPr>
          <w:sz w:val="22"/>
        </w:rPr>
        <w:t xml:space="preserve"> million</w:t>
      </w:r>
      <w:r w:rsidR="003A55AF">
        <w:rPr>
          <w:sz w:val="22"/>
        </w:rPr>
        <w:t>,</w:t>
      </w:r>
      <w:r w:rsidRPr="008654AB">
        <w:rPr>
          <w:sz w:val="22"/>
        </w:rPr>
        <w:t xml:space="preserve"> accounting for </w:t>
      </w:r>
      <w:r w:rsidR="00A8714D">
        <w:rPr>
          <w:sz w:val="22"/>
        </w:rPr>
        <w:t>5.4</w:t>
      </w:r>
      <w:r w:rsidR="00215661">
        <w:rPr>
          <w:sz w:val="22"/>
        </w:rPr>
        <w:t>%</w:t>
      </w:r>
      <w:r w:rsidRPr="008654AB">
        <w:rPr>
          <w:sz w:val="22"/>
        </w:rPr>
        <w:t xml:space="preserve"> of total expenditure on op</w:t>
      </w:r>
      <w:r w:rsidR="00E31C8B">
        <w:rPr>
          <w:sz w:val="22"/>
        </w:rPr>
        <w:t>erational grant funding. Table 1</w:t>
      </w:r>
      <w:r w:rsidRPr="008654AB">
        <w:rPr>
          <w:sz w:val="22"/>
        </w:rPr>
        <w:t xml:space="preserve"> provides information on the level of expenditure across school types.  </w:t>
      </w:r>
    </w:p>
    <w:p w:rsidR="00ED107F" w:rsidRPr="0018635E" w:rsidRDefault="00ED107F" w:rsidP="00EC4FE5">
      <w:pPr>
        <w:pStyle w:val="MoENumberedList"/>
        <w:spacing w:after="0"/>
        <w:ind w:left="0" w:firstLine="0"/>
        <w:jc w:val="both"/>
        <w:rPr>
          <w:rFonts w:cs="Arial"/>
          <w:sz w:val="22"/>
        </w:rPr>
      </w:pPr>
    </w:p>
    <w:p w:rsidR="00E0793F" w:rsidRPr="00E841B4" w:rsidRDefault="00E31C8B" w:rsidP="00064638">
      <w:pPr>
        <w:pStyle w:val="MoENumberedList"/>
        <w:spacing w:after="0"/>
        <w:ind w:left="0" w:firstLine="0"/>
        <w:jc w:val="center"/>
        <w:rPr>
          <w:b/>
          <w:sz w:val="22"/>
        </w:rPr>
      </w:pPr>
      <w:r>
        <w:rPr>
          <w:b/>
          <w:sz w:val="22"/>
        </w:rPr>
        <w:t>Table 1</w:t>
      </w:r>
      <w:r w:rsidR="00E0793F" w:rsidRPr="00E841B4">
        <w:rPr>
          <w:b/>
          <w:sz w:val="22"/>
        </w:rPr>
        <w:t>:  Value of base funding component by school type</w:t>
      </w:r>
      <w:r w:rsidR="00EF4994">
        <w:rPr>
          <w:b/>
          <w:sz w:val="22"/>
        </w:rPr>
        <w:t xml:space="preserve"> 201</w:t>
      </w:r>
      <w:r w:rsidR="00E543B4">
        <w:rPr>
          <w:b/>
          <w:sz w:val="22"/>
        </w:rPr>
        <w:t>5</w:t>
      </w:r>
      <w:r w:rsidR="00E543B4">
        <w:rPr>
          <w:rStyle w:val="FootnoteReference"/>
          <w:b/>
          <w:sz w:val="22"/>
        </w:rPr>
        <w:footnoteReference w:id="1"/>
      </w:r>
    </w:p>
    <w:p w:rsidR="00EC4FE5" w:rsidRPr="00EC4FE5" w:rsidRDefault="00EC4FE5" w:rsidP="00EC4FE5">
      <w:pPr>
        <w:pStyle w:val="MoENumberedList"/>
        <w:spacing w:after="0"/>
        <w:ind w:left="0" w:firstLine="0"/>
        <w:jc w:val="both"/>
        <w:rPr>
          <w:rFonts w:cs="Arial"/>
          <w:b/>
          <w:szCs w:val="20"/>
        </w:rPr>
      </w:pPr>
    </w:p>
    <w:tbl>
      <w:tblPr>
        <w:tblStyle w:val="TableGrid"/>
        <w:tblW w:w="9476" w:type="dxa"/>
        <w:jc w:val="center"/>
        <w:tblInd w:w="-701" w:type="dxa"/>
        <w:tblLook w:val="04A0"/>
      </w:tblPr>
      <w:tblGrid>
        <w:gridCol w:w="2886"/>
        <w:gridCol w:w="2359"/>
        <w:gridCol w:w="2126"/>
        <w:gridCol w:w="2105"/>
      </w:tblGrid>
      <w:tr w:rsidR="00ED107F" w:rsidTr="00EF4994">
        <w:trPr>
          <w:cnfStyle w:val="100000000000"/>
          <w:jc w:val="center"/>
        </w:trPr>
        <w:tc>
          <w:tcPr>
            <w:cnfStyle w:val="001000000000"/>
            <w:tcW w:w="2886" w:type="dxa"/>
            <w:tcBorders>
              <w:bottom w:val="single" w:sz="4" w:space="0" w:color="auto"/>
            </w:tcBorders>
            <w:vAlign w:val="center"/>
          </w:tcPr>
          <w:p w:rsidR="00ED107F" w:rsidRDefault="00ED107F" w:rsidP="00EC4FE5">
            <w:pPr>
              <w:pStyle w:val="MoENumberedList"/>
              <w:spacing w:before="0" w:after="0"/>
              <w:ind w:left="0" w:firstLine="0"/>
              <w:jc w:val="center"/>
              <w:rPr>
                <w:rFonts w:cs="Arial"/>
                <w:sz w:val="22"/>
              </w:rPr>
            </w:pPr>
            <w:r>
              <w:rPr>
                <w:rFonts w:cs="Arial"/>
                <w:sz w:val="22"/>
              </w:rPr>
              <w:t>School type</w:t>
            </w:r>
          </w:p>
        </w:tc>
        <w:tc>
          <w:tcPr>
            <w:tcW w:w="2359" w:type="dxa"/>
            <w:tcBorders>
              <w:bottom w:val="single" w:sz="4" w:space="0" w:color="auto"/>
            </w:tcBorders>
            <w:vAlign w:val="center"/>
          </w:tcPr>
          <w:p w:rsidR="00ED107F" w:rsidRDefault="00E543B4" w:rsidP="00EC4FE5">
            <w:pPr>
              <w:pStyle w:val="MoENumberedList"/>
              <w:spacing w:before="0" w:after="0"/>
              <w:ind w:left="0" w:firstLine="0"/>
              <w:jc w:val="center"/>
              <w:cnfStyle w:val="100000000000"/>
              <w:rPr>
                <w:rFonts w:cs="Arial"/>
                <w:sz w:val="22"/>
              </w:rPr>
            </w:pPr>
            <w:r>
              <w:rPr>
                <w:rFonts w:cs="Arial"/>
                <w:sz w:val="22"/>
              </w:rPr>
              <w:t>B</w:t>
            </w:r>
            <w:r w:rsidR="00ED107F">
              <w:rPr>
                <w:rFonts w:cs="Arial"/>
                <w:sz w:val="22"/>
              </w:rPr>
              <w:t>ase funding</w:t>
            </w:r>
          </w:p>
          <w:p w:rsidR="008654AB" w:rsidRDefault="008654AB" w:rsidP="00EC4FE5">
            <w:pPr>
              <w:pStyle w:val="MoENumberedList"/>
              <w:spacing w:before="0" w:after="0"/>
              <w:ind w:left="0" w:firstLine="0"/>
              <w:jc w:val="center"/>
              <w:cnfStyle w:val="100000000000"/>
              <w:rPr>
                <w:rFonts w:cs="Arial"/>
                <w:sz w:val="22"/>
              </w:rPr>
            </w:pPr>
            <w:r>
              <w:rPr>
                <w:rFonts w:cs="Arial"/>
                <w:sz w:val="22"/>
              </w:rPr>
              <w:t>$million</w:t>
            </w:r>
          </w:p>
        </w:tc>
        <w:tc>
          <w:tcPr>
            <w:tcW w:w="2126" w:type="dxa"/>
            <w:tcBorders>
              <w:bottom w:val="single" w:sz="4" w:space="0" w:color="auto"/>
            </w:tcBorders>
            <w:vAlign w:val="center"/>
          </w:tcPr>
          <w:p w:rsidR="00ED107F" w:rsidRDefault="00ED107F" w:rsidP="00EF4994">
            <w:pPr>
              <w:pStyle w:val="MoENumberedList"/>
              <w:spacing w:before="0" w:after="0"/>
              <w:ind w:left="0" w:firstLine="0"/>
              <w:jc w:val="center"/>
              <w:cnfStyle w:val="100000000000"/>
              <w:rPr>
                <w:rFonts w:cs="Arial"/>
                <w:sz w:val="22"/>
              </w:rPr>
            </w:pPr>
            <w:r>
              <w:rPr>
                <w:rFonts w:cs="Arial"/>
                <w:sz w:val="22"/>
              </w:rPr>
              <w:t>Share of total base funding</w:t>
            </w:r>
          </w:p>
        </w:tc>
        <w:tc>
          <w:tcPr>
            <w:tcW w:w="2105" w:type="dxa"/>
            <w:tcBorders>
              <w:bottom w:val="single" w:sz="4" w:space="0" w:color="auto"/>
            </w:tcBorders>
            <w:vAlign w:val="center"/>
          </w:tcPr>
          <w:p w:rsidR="00ED107F" w:rsidRDefault="00ED107F" w:rsidP="00EC4FE5">
            <w:pPr>
              <w:pStyle w:val="MoENumberedList"/>
              <w:spacing w:before="0" w:after="0"/>
              <w:ind w:left="0" w:firstLine="0"/>
              <w:jc w:val="center"/>
              <w:cnfStyle w:val="100000000000"/>
              <w:rPr>
                <w:rFonts w:cs="Arial"/>
                <w:sz w:val="22"/>
              </w:rPr>
            </w:pPr>
            <w:r>
              <w:rPr>
                <w:rFonts w:cs="Arial"/>
                <w:sz w:val="22"/>
              </w:rPr>
              <w:t>Share of total roll</w:t>
            </w:r>
          </w:p>
        </w:tc>
      </w:tr>
      <w:tr w:rsidR="00ED107F" w:rsidTr="00EF4994">
        <w:trPr>
          <w:cnfStyle w:val="000000100000"/>
          <w:jc w:val="center"/>
        </w:trPr>
        <w:tc>
          <w:tcPr>
            <w:cnfStyle w:val="001000000000"/>
            <w:tcW w:w="2886" w:type="dxa"/>
            <w:tcBorders>
              <w:top w:val="single" w:sz="4" w:space="0" w:color="auto"/>
              <w:left w:val="single" w:sz="4" w:space="0" w:color="auto"/>
              <w:bottom w:val="single" w:sz="4" w:space="0" w:color="auto"/>
              <w:right w:val="single" w:sz="4" w:space="0" w:color="auto"/>
            </w:tcBorders>
            <w:vAlign w:val="center"/>
          </w:tcPr>
          <w:p w:rsidR="00ED107F" w:rsidRDefault="00ED107F" w:rsidP="00EC4FE5">
            <w:pPr>
              <w:pStyle w:val="MoENumberedList"/>
              <w:spacing w:before="0" w:after="0"/>
              <w:ind w:left="0" w:firstLine="0"/>
              <w:rPr>
                <w:rFonts w:cs="Arial"/>
                <w:sz w:val="22"/>
              </w:rPr>
            </w:pPr>
            <w:r>
              <w:rPr>
                <w:rFonts w:cs="Arial"/>
                <w:sz w:val="22"/>
              </w:rPr>
              <w:t>Primary</w:t>
            </w:r>
          </w:p>
        </w:tc>
        <w:tc>
          <w:tcPr>
            <w:tcW w:w="2359" w:type="dxa"/>
            <w:tcBorders>
              <w:top w:val="single" w:sz="4" w:space="0" w:color="auto"/>
              <w:left w:val="single" w:sz="4" w:space="0" w:color="auto"/>
              <w:bottom w:val="single" w:sz="4" w:space="0" w:color="auto"/>
              <w:right w:val="single" w:sz="4" w:space="0" w:color="auto"/>
            </w:tcBorders>
            <w:vAlign w:val="center"/>
          </w:tcPr>
          <w:p w:rsidR="00ED107F" w:rsidRDefault="00ED107F" w:rsidP="00EC4FE5">
            <w:pPr>
              <w:pStyle w:val="MoENumberedList"/>
              <w:spacing w:before="0" w:after="0"/>
              <w:ind w:left="0" w:firstLine="0"/>
              <w:jc w:val="center"/>
              <w:cnfStyle w:val="000000100000"/>
              <w:rPr>
                <w:rFonts w:cs="Arial"/>
                <w:sz w:val="22"/>
              </w:rPr>
            </w:pPr>
            <w:r>
              <w:rPr>
                <w:rFonts w:cs="Arial"/>
                <w:sz w:val="22"/>
              </w:rPr>
              <w:t>$27</w:t>
            </w:r>
            <w:r w:rsidR="00E0793F">
              <w:rPr>
                <w:rFonts w:cs="Arial"/>
                <w:sz w:val="22"/>
              </w:rPr>
              <w:t>.</w:t>
            </w:r>
            <w:r w:rsidR="008654AB">
              <w:rPr>
                <w:rFonts w:cs="Arial"/>
                <w:sz w:val="22"/>
              </w:rPr>
              <w:t>8</w:t>
            </w:r>
          </w:p>
        </w:tc>
        <w:tc>
          <w:tcPr>
            <w:tcW w:w="2126" w:type="dxa"/>
            <w:tcBorders>
              <w:top w:val="single" w:sz="4" w:space="0" w:color="auto"/>
              <w:left w:val="single" w:sz="4" w:space="0" w:color="auto"/>
              <w:bottom w:val="single" w:sz="4" w:space="0" w:color="auto"/>
              <w:right w:val="single" w:sz="4" w:space="0" w:color="auto"/>
            </w:tcBorders>
            <w:vAlign w:val="center"/>
          </w:tcPr>
          <w:p w:rsidR="00ED107F" w:rsidRDefault="009C30D8" w:rsidP="00EC4FE5">
            <w:pPr>
              <w:pStyle w:val="MoENumberedList"/>
              <w:spacing w:before="0" w:after="0"/>
              <w:ind w:left="0" w:firstLine="0"/>
              <w:jc w:val="center"/>
              <w:cnfStyle w:val="000000100000"/>
              <w:rPr>
                <w:rFonts w:cs="Arial"/>
                <w:sz w:val="22"/>
              </w:rPr>
            </w:pPr>
            <w:r>
              <w:rPr>
                <w:rFonts w:cs="Arial"/>
                <w:sz w:val="22"/>
              </w:rPr>
              <w:t>36</w:t>
            </w:r>
            <w:r w:rsidR="00ED107F">
              <w:rPr>
                <w:rFonts w:cs="Arial"/>
                <w:sz w:val="22"/>
              </w:rPr>
              <w:t>%</w:t>
            </w:r>
          </w:p>
        </w:tc>
        <w:tc>
          <w:tcPr>
            <w:tcW w:w="2105" w:type="dxa"/>
            <w:tcBorders>
              <w:top w:val="single" w:sz="4" w:space="0" w:color="auto"/>
              <w:left w:val="single" w:sz="4" w:space="0" w:color="auto"/>
              <w:bottom w:val="single" w:sz="4" w:space="0" w:color="auto"/>
              <w:right w:val="single" w:sz="4" w:space="0" w:color="auto"/>
            </w:tcBorders>
            <w:vAlign w:val="center"/>
          </w:tcPr>
          <w:p w:rsidR="00E0793F" w:rsidRDefault="009C30D8" w:rsidP="00EC4FE5">
            <w:pPr>
              <w:pStyle w:val="MoENumberedList"/>
              <w:spacing w:before="0" w:after="0"/>
              <w:ind w:left="0" w:firstLine="0"/>
              <w:jc w:val="center"/>
              <w:cnfStyle w:val="000000100000"/>
              <w:rPr>
                <w:rFonts w:cs="Arial"/>
                <w:sz w:val="22"/>
              </w:rPr>
            </w:pPr>
            <w:r>
              <w:rPr>
                <w:rFonts w:cs="Arial"/>
                <w:sz w:val="22"/>
              </w:rPr>
              <w:t>53</w:t>
            </w:r>
            <w:r w:rsidR="00E0793F">
              <w:rPr>
                <w:rFonts w:cs="Arial"/>
                <w:sz w:val="22"/>
              </w:rPr>
              <w:t>%</w:t>
            </w:r>
          </w:p>
        </w:tc>
      </w:tr>
      <w:tr w:rsidR="00ED107F" w:rsidTr="00EF4994">
        <w:trPr>
          <w:cnfStyle w:val="000000010000"/>
          <w:jc w:val="center"/>
        </w:trPr>
        <w:tc>
          <w:tcPr>
            <w:cnfStyle w:val="001000000000"/>
            <w:tcW w:w="2886" w:type="dxa"/>
            <w:tcBorders>
              <w:top w:val="single" w:sz="4" w:space="0" w:color="auto"/>
              <w:left w:val="single" w:sz="4" w:space="0" w:color="auto"/>
              <w:bottom w:val="single" w:sz="4" w:space="0" w:color="auto"/>
              <w:right w:val="single" w:sz="4" w:space="0" w:color="auto"/>
            </w:tcBorders>
            <w:vAlign w:val="center"/>
          </w:tcPr>
          <w:p w:rsidR="00ED107F" w:rsidRDefault="00ED107F" w:rsidP="00EC4FE5">
            <w:pPr>
              <w:pStyle w:val="MoENumberedList"/>
              <w:spacing w:before="0" w:after="0"/>
              <w:ind w:left="0" w:firstLine="0"/>
              <w:rPr>
                <w:rFonts w:cs="Arial"/>
                <w:sz w:val="22"/>
              </w:rPr>
            </w:pPr>
            <w:r>
              <w:rPr>
                <w:rFonts w:cs="Arial"/>
                <w:sz w:val="22"/>
              </w:rPr>
              <w:t>Intermediate</w:t>
            </w:r>
          </w:p>
        </w:tc>
        <w:tc>
          <w:tcPr>
            <w:tcW w:w="2359" w:type="dxa"/>
            <w:tcBorders>
              <w:top w:val="single" w:sz="4" w:space="0" w:color="auto"/>
              <w:left w:val="single" w:sz="4" w:space="0" w:color="auto"/>
              <w:bottom w:val="single" w:sz="4" w:space="0" w:color="auto"/>
              <w:right w:val="single" w:sz="4" w:space="0" w:color="auto"/>
            </w:tcBorders>
            <w:vAlign w:val="center"/>
          </w:tcPr>
          <w:p w:rsidR="00ED107F" w:rsidRDefault="004565A3" w:rsidP="00EC4FE5">
            <w:pPr>
              <w:pStyle w:val="MoENumberedList"/>
              <w:spacing w:before="0" w:after="0"/>
              <w:ind w:left="0" w:firstLine="0"/>
              <w:jc w:val="center"/>
              <w:cnfStyle w:val="000000010000"/>
              <w:rPr>
                <w:rFonts w:cs="Arial"/>
                <w:sz w:val="22"/>
              </w:rPr>
            </w:pPr>
            <w:r>
              <w:rPr>
                <w:rFonts w:cs="Arial"/>
                <w:sz w:val="22"/>
              </w:rPr>
              <w:t xml:space="preserve">  </w:t>
            </w:r>
            <w:r w:rsidR="00ED107F">
              <w:rPr>
                <w:rFonts w:cs="Arial"/>
                <w:sz w:val="22"/>
              </w:rPr>
              <w:t>$2</w:t>
            </w:r>
            <w:r w:rsidR="00E0793F">
              <w:rPr>
                <w:rFonts w:cs="Arial"/>
                <w:sz w:val="22"/>
              </w:rPr>
              <w:t>.</w:t>
            </w:r>
            <w:r w:rsidR="00ED107F">
              <w:rPr>
                <w:rFonts w:cs="Arial"/>
                <w:sz w:val="22"/>
              </w:rPr>
              <w:t>9</w:t>
            </w:r>
          </w:p>
        </w:tc>
        <w:tc>
          <w:tcPr>
            <w:tcW w:w="2126" w:type="dxa"/>
            <w:tcBorders>
              <w:top w:val="single" w:sz="4" w:space="0" w:color="auto"/>
              <w:left w:val="single" w:sz="4" w:space="0" w:color="auto"/>
              <w:bottom w:val="single" w:sz="4" w:space="0" w:color="auto"/>
              <w:right w:val="single" w:sz="4" w:space="0" w:color="auto"/>
            </w:tcBorders>
            <w:vAlign w:val="center"/>
          </w:tcPr>
          <w:p w:rsidR="00ED107F" w:rsidRDefault="004565A3" w:rsidP="00EC4FE5">
            <w:pPr>
              <w:pStyle w:val="MoENumberedList"/>
              <w:spacing w:before="0" w:after="0"/>
              <w:ind w:left="0" w:firstLine="0"/>
              <w:jc w:val="center"/>
              <w:cnfStyle w:val="000000010000"/>
              <w:rPr>
                <w:rFonts w:cs="Arial"/>
                <w:sz w:val="22"/>
              </w:rPr>
            </w:pPr>
            <w:r>
              <w:rPr>
                <w:rFonts w:cs="Arial"/>
                <w:sz w:val="22"/>
              </w:rPr>
              <w:t xml:space="preserve">  </w:t>
            </w:r>
            <w:r w:rsidR="00ED107F">
              <w:rPr>
                <w:rFonts w:cs="Arial"/>
                <w:sz w:val="22"/>
              </w:rPr>
              <w:t>4%</w:t>
            </w:r>
          </w:p>
        </w:tc>
        <w:tc>
          <w:tcPr>
            <w:tcW w:w="2105" w:type="dxa"/>
            <w:tcBorders>
              <w:top w:val="single" w:sz="4" w:space="0" w:color="auto"/>
              <w:left w:val="single" w:sz="4" w:space="0" w:color="auto"/>
              <w:bottom w:val="single" w:sz="4" w:space="0" w:color="auto"/>
              <w:right w:val="single" w:sz="4" w:space="0" w:color="auto"/>
            </w:tcBorders>
            <w:vAlign w:val="center"/>
          </w:tcPr>
          <w:p w:rsidR="00ED107F" w:rsidRDefault="004565A3" w:rsidP="00EC4FE5">
            <w:pPr>
              <w:pStyle w:val="MoENumberedList"/>
              <w:spacing w:before="0" w:after="0"/>
              <w:ind w:left="0" w:firstLine="0"/>
              <w:jc w:val="center"/>
              <w:cnfStyle w:val="000000010000"/>
              <w:rPr>
                <w:rFonts w:cs="Arial"/>
                <w:sz w:val="22"/>
              </w:rPr>
            </w:pPr>
            <w:r>
              <w:rPr>
                <w:rFonts w:cs="Arial"/>
                <w:sz w:val="22"/>
              </w:rPr>
              <w:t xml:space="preserve">  </w:t>
            </w:r>
            <w:r w:rsidR="00E0793F">
              <w:rPr>
                <w:rFonts w:cs="Arial"/>
                <w:sz w:val="22"/>
              </w:rPr>
              <w:t>7%</w:t>
            </w:r>
          </w:p>
        </w:tc>
      </w:tr>
      <w:tr w:rsidR="00ED107F" w:rsidTr="00EF4994">
        <w:trPr>
          <w:cnfStyle w:val="000000100000"/>
          <w:jc w:val="center"/>
        </w:trPr>
        <w:tc>
          <w:tcPr>
            <w:cnfStyle w:val="001000000000"/>
            <w:tcW w:w="2886" w:type="dxa"/>
            <w:tcBorders>
              <w:top w:val="single" w:sz="4" w:space="0" w:color="auto"/>
              <w:left w:val="single" w:sz="4" w:space="0" w:color="auto"/>
              <w:bottom w:val="single" w:sz="4" w:space="0" w:color="auto"/>
              <w:right w:val="single" w:sz="4" w:space="0" w:color="auto"/>
            </w:tcBorders>
            <w:vAlign w:val="center"/>
          </w:tcPr>
          <w:p w:rsidR="00ED107F" w:rsidRDefault="00ED107F" w:rsidP="00EC4FE5">
            <w:pPr>
              <w:pStyle w:val="MoENumberedList"/>
              <w:spacing w:before="0" w:after="0"/>
              <w:ind w:left="0" w:firstLine="0"/>
              <w:rPr>
                <w:rFonts w:cs="Arial"/>
                <w:sz w:val="22"/>
              </w:rPr>
            </w:pPr>
            <w:r>
              <w:rPr>
                <w:rFonts w:cs="Arial"/>
                <w:sz w:val="22"/>
              </w:rPr>
              <w:t>Secondary (year 9 to 15)</w:t>
            </w:r>
          </w:p>
        </w:tc>
        <w:tc>
          <w:tcPr>
            <w:tcW w:w="2359" w:type="dxa"/>
            <w:tcBorders>
              <w:top w:val="single" w:sz="4" w:space="0" w:color="auto"/>
              <w:left w:val="single" w:sz="4" w:space="0" w:color="auto"/>
              <w:bottom w:val="single" w:sz="4" w:space="0" w:color="auto"/>
              <w:right w:val="single" w:sz="4" w:space="0" w:color="auto"/>
            </w:tcBorders>
            <w:vAlign w:val="center"/>
          </w:tcPr>
          <w:p w:rsidR="00ED107F" w:rsidRDefault="00ED107F" w:rsidP="00EC4FE5">
            <w:pPr>
              <w:pStyle w:val="MoENumberedList"/>
              <w:spacing w:before="0" w:after="0"/>
              <w:ind w:left="0" w:firstLine="0"/>
              <w:jc w:val="center"/>
              <w:cnfStyle w:val="000000100000"/>
              <w:rPr>
                <w:rFonts w:cs="Arial"/>
                <w:sz w:val="22"/>
              </w:rPr>
            </w:pPr>
            <w:r>
              <w:rPr>
                <w:rFonts w:cs="Arial"/>
                <w:sz w:val="22"/>
              </w:rPr>
              <w:t>$18</w:t>
            </w:r>
            <w:r w:rsidR="008654AB">
              <w:rPr>
                <w:rFonts w:cs="Arial"/>
                <w:sz w:val="22"/>
              </w:rPr>
              <w:t>.1</w:t>
            </w:r>
          </w:p>
        </w:tc>
        <w:tc>
          <w:tcPr>
            <w:tcW w:w="2126" w:type="dxa"/>
            <w:tcBorders>
              <w:top w:val="single" w:sz="4" w:space="0" w:color="auto"/>
              <w:left w:val="single" w:sz="4" w:space="0" w:color="auto"/>
              <w:bottom w:val="single" w:sz="4" w:space="0" w:color="auto"/>
              <w:right w:val="single" w:sz="4" w:space="0" w:color="auto"/>
            </w:tcBorders>
            <w:vAlign w:val="center"/>
          </w:tcPr>
          <w:p w:rsidR="00ED107F" w:rsidRDefault="009C30D8" w:rsidP="00EC4FE5">
            <w:pPr>
              <w:pStyle w:val="MoENumberedList"/>
              <w:spacing w:before="0" w:after="0"/>
              <w:ind w:left="0" w:firstLine="0"/>
              <w:jc w:val="center"/>
              <w:cnfStyle w:val="000000100000"/>
              <w:rPr>
                <w:rFonts w:cs="Arial"/>
                <w:sz w:val="22"/>
              </w:rPr>
            </w:pPr>
            <w:r>
              <w:rPr>
                <w:rFonts w:cs="Arial"/>
                <w:sz w:val="22"/>
              </w:rPr>
              <w:t>23</w:t>
            </w:r>
            <w:r w:rsidR="00ED107F">
              <w:rPr>
                <w:rFonts w:cs="Arial"/>
                <w:sz w:val="22"/>
              </w:rPr>
              <w:t>%</w:t>
            </w:r>
          </w:p>
        </w:tc>
        <w:tc>
          <w:tcPr>
            <w:tcW w:w="2105" w:type="dxa"/>
            <w:tcBorders>
              <w:top w:val="single" w:sz="4" w:space="0" w:color="auto"/>
              <w:left w:val="single" w:sz="4" w:space="0" w:color="auto"/>
              <w:bottom w:val="single" w:sz="4" w:space="0" w:color="auto"/>
              <w:right w:val="single" w:sz="4" w:space="0" w:color="auto"/>
            </w:tcBorders>
            <w:vAlign w:val="center"/>
          </w:tcPr>
          <w:p w:rsidR="00ED107F" w:rsidRDefault="009C30D8" w:rsidP="00EC4FE5">
            <w:pPr>
              <w:pStyle w:val="MoENumberedList"/>
              <w:spacing w:before="0" w:after="0"/>
              <w:ind w:left="0" w:firstLine="0"/>
              <w:jc w:val="center"/>
              <w:cnfStyle w:val="000000100000"/>
              <w:rPr>
                <w:rFonts w:cs="Arial"/>
                <w:sz w:val="22"/>
              </w:rPr>
            </w:pPr>
            <w:r>
              <w:rPr>
                <w:rFonts w:cs="Arial"/>
                <w:sz w:val="22"/>
              </w:rPr>
              <w:t>26</w:t>
            </w:r>
            <w:r w:rsidR="00ED107F">
              <w:rPr>
                <w:rFonts w:cs="Arial"/>
                <w:sz w:val="22"/>
              </w:rPr>
              <w:t>%</w:t>
            </w:r>
          </w:p>
        </w:tc>
      </w:tr>
      <w:tr w:rsidR="00ED107F" w:rsidTr="00EF4994">
        <w:trPr>
          <w:cnfStyle w:val="000000010000"/>
          <w:jc w:val="center"/>
        </w:trPr>
        <w:tc>
          <w:tcPr>
            <w:cnfStyle w:val="001000000000"/>
            <w:tcW w:w="2886" w:type="dxa"/>
            <w:tcBorders>
              <w:top w:val="single" w:sz="4" w:space="0" w:color="auto"/>
              <w:left w:val="single" w:sz="4" w:space="0" w:color="auto"/>
              <w:bottom w:val="single" w:sz="4" w:space="0" w:color="auto"/>
              <w:right w:val="single" w:sz="4" w:space="0" w:color="auto"/>
            </w:tcBorders>
            <w:vAlign w:val="center"/>
          </w:tcPr>
          <w:p w:rsidR="00ED107F" w:rsidRDefault="00ED107F" w:rsidP="00EC4FE5">
            <w:pPr>
              <w:pStyle w:val="MoENumberedList"/>
              <w:spacing w:before="0" w:after="0"/>
              <w:ind w:left="0" w:firstLine="0"/>
              <w:rPr>
                <w:rFonts w:cs="Arial"/>
                <w:sz w:val="22"/>
              </w:rPr>
            </w:pPr>
            <w:r>
              <w:rPr>
                <w:rFonts w:cs="Arial"/>
                <w:sz w:val="22"/>
              </w:rPr>
              <w:t>Secondary (year 7 to 15)</w:t>
            </w:r>
          </w:p>
        </w:tc>
        <w:tc>
          <w:tcPr>
            <w:tcW w:w="2359" w:type="dxa"/>
            <w:tcBorders>
              <w:top w:val="single" w:sz="4" w:space="0" w:color="auto"/>
              <w:left w:val="single" w:sz="4" w:space="0" w:color="auto"/>
              <w:bottom w:val="single" w:sz="4" w:space="0" w:color="auto"/>
              <w:right w:val="single" w:sz="4" w:space="0" w:color="auto"/>
            </w:tcBorders>
            <w:vAlign w:val="center"/>
          </w:tcPr>
          <w:p w:rsidR="00ED107F" w:rsidRDefault="00ED107F" w:rsidP="00EC4FE5">
            <w:pPr>
              <w:pStyle w:val="MoENumberedList"/>
              <w:spacing w:before="0" w:after="0"/>
              <w:ind w:left="0" w:firstLine="0"/>
              <w:jc w:val="center"/>
              <w:cnfStyle w:val="000000010000"/>
              <w:rPr>
                <w:rFonts w:cs="Arial"/>
                <w:sz w:val="22"/>
              </w:rPr>
            </w:pPr>
            <w:r>
              <w:rPr>
                <w:rFonts w:cs="Arial"/>
                <w:sz w:val="22"/>
              </w:rPr>
              <w:t>$10</w:t>
            </w:r>
            <w:r w:rsidR="008654AB">
              <w:rPr>
                <w:rFonts w:cs="Arial"/>
                <w:sz w:val="22"/>
              </w:rPr>
              <w:t>.7</w:t>
            </w:r>
          </w:p>
        </w:tc>
        <w:tc>
          <w:tcPr>
            <w:tcW w:w="2126" w:type="dxa"/>
            <w:tcBorders>
              <w:top w:val="single" w:sz="4" w:space="0" w:color="auto"/>
              <w:left w:val="single" w:sz="4" w:space="0" w:color="auto"/>
              <w:bottom w:val="single" w:sz="4" w:space="0" w:color="auto"/>
              <w:right w:val="single" w:sz="4" w:space="0" w:color="auto"/>
            </w:tcBorders>
            <w:vAlign w:val="center"/>
          </w:tcPr>
          <w:p w:rsidR="00ED107F" w:rsidRDefault="009C30D8" w:rsidP="00EC4FE5">
            <w:pPr>
              <w:pStyle w:val="MoENumberedList"/>
              <w:spacing w:before="0" w:after="0"/>
              <w:ind w:left="0" w:firstLine="0"/>
              <w:jc w:val="center"/>
              <w:cnfStyle w:val="000000010000"/>
              <w:rPr>
                <w:rFonts w:cs="Arial"/>
                <w:sz w:val="22"/>
              </w:rPr>
            </w:pPr>
            <w:r>
              <w:rPr>
                <w:rFonts w:cs="Arial"/>
                <w:sz w:val="22"/>
              </w:rPr>
              <w:t>14</w:t>
            </w:r>
            <w:r w:rsidR="00ED107F">
              <w:rPr>
                <w:rFonts w:cs="Arial"/>
                <w:sz w:val="22"/>
              </w:rPr>
              <w:t>%</w:t>
            </w:r>
          </w:p>
        </w:tc>
        <w:tc>
          <w:tcPr>
            <w:tcW w:w="2105" w:type="dxa"/>
            <w:tcBorders>
              <w:top w:val="single" w:sz="4" w:space="0" w:color="auto"/>
              <w:left w:val="single" w:sz="4" w:space="0" w:color="auto"/>
              <w:bottom w:val="single" w:sz="4" w:space="0" w:color="auto"/>
              <w:right w:val="single" w:sz="4" w:space="0" w:color="auto"/>
            </w:tcBorders>
            <w:vAlign w:val="center"/>
          </w:tcPr>
          <w:p w:rsidR="00ED107F" w:rsidRDefault="004565A3" w:rsidP="00EC4FE5">
            <w:pPr>
              <w:pStyle w:val="MoENumberedList"/>
              <w:spacing w:before="0" w:after="0"/>
              <w:ind w:left="0" w:firstLine="0"/>
              <w:jc w:val="center"/>
              <w:cnfStyle w:val="000000010000"/>
              <w:rPr>
                <w:rFonts w:cs="Arial"/>
                <w:sz w:val="22"/>
              </w:rPr>
            </w:pPr>
            <w:r>
              <w:rPr>
                <w:rFonts w:cs="Arial"/>
                <w:sz w:val="22"/>
              </w:rPr>
              <w:t xml:space="preserve">  </w:t>
            </w:r>
            <w:r w:rsidR="009C30D8">
              <w:rPr>
                <w:rFonts w:cs="Arial"/>
                <w:sz w:val="22"/>
              </w:rPr>
              <w:t>8</w:t>
            </w:r>
            <w:r w:rsidR="00ED107F">
              <w:rPr>
                <w:rFonts w:cs="Arial"/>
                <w:sz w:val="22"/>
              </w:rPr>
              <w:t>%</w:t>
            </w:r>
          </w:p>
        </w:tc>
      </w:tr>
      <w:tr w:rsidR="00ED107F" w:rsidTr="00EF4994">
        <w:trPr>
          <w:cnfStyle w:val="000000100000"/>
          <w:jc w:val="center"/>
        </w:trPr>
        <w:tc>
          <w:tcPr>
            <w:cnfStyle w:val="001000000000"/>
            <w:tcW w:w="2886" w:type="dxa"/>
            <w:tcBorders>
              <w:top w:val="single" w:sz="4" w:space="0" w:color="auto"/>
              <w:left w:val="single" w:sz="4" w:space="0" w:color="auto"/>
              <w:bottom w:val="single" w:sz="4" w:space="0" w:color="auto"/>
              <w:right w:val="single" w:sz="4" w:space="0" w:color="auto"/>
            </w:tcBorders>
            <w:vAlign w:val="center"/>
          </w:tcPr>
          <w:p w:rsidR="00ED107F" w:rsidRDefault="00ED107F" w:rsidP="00EC4FE5">
            <w:pPr>
              <w:pStyle w:val="MoENumberedList"/>
              <w:spacing w:before="0" w:after="0"/>
              <w:ind w:left="0" w:firstLine="0"/>
              <w:rPr>
                <w:rFonts w:cs="Arial"/>
                <w:sz w:val="22"/>
              </w:rPr>
            </w:pPr>
            <w:r>
              <w:rPr>
                <w:rFonts w:cs="Arial"/>
                <w:sz w:val="22"/>
              </w:rPr>
              <w:t>Composite</w:t>
            </w:r>
          </w:p>
        </w:tc>
        <w:tc>
          <w:tcPr>
            <w:tcW w:w="2359" w:type="dxa"/>
            <w:tcBorders>
              <w:top w:val="single" w:sz="4" w:space="0" w:color="auto"/>
              <w:left w:val="single" w:sz="4" w:space="0" w:color="auto"/>
              <w:bottom w:val="single" w:sz="4" w:space="0" w:color="auto"/>
              <w:right w:val="single" w:sz="4" w:space="0" w:color="auto"/>
            </w:tcBorders>
            <w:vAlign w:val="center"/>
          </w:tcPr>
          <w:p w:rsidR="00ED107F" w:rsidRDefault="00ED107F" w:rsidP="00EC4FE5">
            <w:pPr>
              <w:pStyle w:val="MoENumberedList"/>
              <w:spacing w:before="0" w:after="0"/>
              <w:ind w:left="0" w:firstLine="0"/>
              <w:jc w:val="center"/>
              <w:cnfStyle w:val="000000100000"/>
              <w:rPr>
                <w:rFonts w:cs="Arial"/>
                <w:sz w:val="22"/>
              </w:rPr>
            </w:pPr>
            <w:r>
              <w:rPr>
                <w:rFonts w:cs="Arial"/>
                <w:sz w:val="22"/>
              </w:rPr>
              <w:t>$14</w:t>
            </w:r>
            <w:r w:rsidR="008654AB">
              <w:rPr>
                <w:rFonts w:cs="Arial"/>
                <w:sz w:val="22"/>
              </w:rPr>
              <w:t>.</w:t>
            </w:r>
            <w:r w:rsidR="00BF7F01">
              <w:rPr>
                <w:rFonts w:cs="Arial"/>
                <w:sz w:val="22"/>
              </w:rPr>
              <w:t>5</w:t>
            </w:r>
          </w:p>
        </w:tc>
        <w:tc>
          <w:tcPr>
            <w:tcW w:w="2126" w:type="dxa"/>
            <w:tcBorders>
              <w:top w:val="single" w:sz="4" w:space="0" w:color="auto"/>
              <w:left w:val="single" w:sz="4" w:space="0" w:color="auto"/>
              <w:bottom w:val="single" w:sz="4" w:space="0" w:color="auto"/>
              <w:right w:val="single" w:sz="4" w:space="0" w:color="auto"/>
            </w:tcBorders>
            <w:vAlign w:val="center"/>
          </w:tcPr>
          <w:p w:rsidR="00ED107F" w:rsidRDefault="009C30D8" w:rsidP="00EC4FE5">
            <w:pPr>
              <w:pStyle w:val="MoENumberedList"/>
              <w:spacing w:before="0" w:after="0"/>
              <w:ind w:left="0" w:firstLine="0"/>
              <w:jc w:val="center"/>
              <w:cnfStyle w:val="000000100000"/>
              <w:rPr>
                <w:rFonts w:cs="Arial"/>
                <w:sz w:val="22"/>
              </w:rPr>
            </w:pPr>
            <w:r>
              <w:rPr>
                <w:rFonts w:cs="Arial"/>
                <w:sz w:val="22"/>
              </w:rPr>
              <w:t>19</w:t>
            </w:r>
            <w:r w:rsidR="00ED107F">
              <w:rPr>
                <w:rFonts w:cs="Arial"/>
                <w:sz w:val="22"/>
              </w:rPr>
              <w:t>%</w:t>
            </w:r>
          </w:p>
        </w:tc>
        <w:tc>
          <w:tcPr>
            <w:tcW w:w="2105" w:type="dxa"/>
            <w:tcBorders>
              <w:top w:val="single" w:sz="4" w:space="0" w:color="auto"/>
              <w:left w:val="single" w:sz="4" w:space="0" w:color="auto"/>
              <w:bottom w:val="single" w:sz="4" w:space="0" w:color="auto"/>
              <w:right w:val="single" w:sz="4" w:space="0" w:color="auto"/>
            </w:tcBorders>
            <w:vAlign w:val="center"/>
          </w:tcPr>
          <w:p w:rsidR="00ED107F" w:rsidRDefault="004565A3" w:rsidP="00EC4FE5">
            <w:pPr>
              <w:pStyle w:val="MoENumberedList"/>
              <w:spacing w:before="0" w:after="0"/>
              <w:ind w:left="0" w:firstLine="0"/>
              <w:jc w:val="center"/>
              <w:cnfStyle w:val="000000100000"/>
              <w:rPr>
                <w:rFonts w:cs="Arial"/>
                <w:sz w:val="22"/>
              </w:rPr>
            </w:pPr>
            <w:r>
              <w:rPr>
                <w:rFonts w:cs="Arial"/>
                <w:sz w:val="22"/>
              </w:rPr>
              <w:t xml:space="preserve">  </w:t>
            </w:r>
            <w:r w:rsidR="00ED107F">
              <w:rPr>
                <w:rFonts w:cs="Arial"/>
                <w:sz w:val="22"/>
              </w:rPr>
              <w:t>6%</w:t>
            </w:r>
          </w:p>
        </w:tc>
      </w:tr>
    </w:tbl>
    <w:p w:rsidR="00EC4FE5" w:rsidRPr="00EC4FE5" w:rsidRDefault="00EC4FE5" w:rsidP="00EC4FE5">
      <w:pPr>
        <w:pStyle w:val="MoENumberedList"/>
        <w:spacing w:after="0"/>
        <w:ind w:firstLine="0"/>
        <w:jc w:val="both"/>
        <w:rPr>
          <w:rFonts w:cs="Arial"/>
          <w:sz w:val="24"/>
          <w:szCs w:val="24"/>
        </w:rPr>
      </w:pPr>
    </w:p>
    <w:p w:rsidR="00E0793F" w:rsidRDefault="00E0793F" w:rsidP="00EC4FE5">
      <w:pPr>
        <w:pStyle w:val="MoENumberedList"/>
        <w:spacing w:after="0"/>
        <w:ind w:left="0" w:firstLine="0"/>
        <w:jc w:val="both"/>
        <w:rPr>
          <w:sz w:val="22"/>
        </w:rPr>
      </w:pPr>
      <w:r>
        <w:rPr>
          <w:sz w:val="22"/>
        </w:rPr>
        <w:t>Separately some other components of operational grant funding either specifically include a base component, such as ICT funding, or effectively include a base el</w:t>
      </w:r>
      <w:r w:rsidR="00AB052C">
        <w:rPr>
          <w:sz w:val="22"/>
        </w:rPr>
        <w:t>e</w:t>
      </w:r>
      <w:r>
        <w:rPr>
          <w:sz w:val="22"/>
        </w:rPr>
        <w:t>ment</w:t>
      </w:r>
      <w:r w:rsidR="004E47CB">
        <w:rPr>
          <w:sz w:val="22"/>
        </w:rPr>
        <w:t>,</w:t>
      </w:r>
      <w:r>
        <w:rPr>
          <w:sz w:val="22"/>
        </w:rPr>
        <w:t xml:space="preserve"> such as heat, light and water</w:t>
      </w:r>
      <w:r w:rsidR="004E47CB">
        <w:rPr>
          <w:sz w:val="22"/>
        </w:rPr>
        <w:t xml:space="preserve"> </w:t>
      </w:r>
      <w:r>
        <w:rPr>
          <w:sz w:val="22"/>
        </w:rPr>
        <w:t>and the property maintenance grant.</w:t>
      </w:r>
    </w:p>
    <w:p w:rsidR="00E0793F" w:rsidRPr="00EC4FE5" w:rsidRDefault="00E0793F" w:rsidP="00EC4FE5">
      <w:pPr>
        <w:pStyle w:val="MoENumberedList"/>
        <w:spacing w:after="0"/>
        <w:ind w:left="0" w:firstLine="0"/>
        <w:jc w:val="both"/>
        <w:rPr>
          <w:szCs w:val="20"/>
        </w:rPr>
      </w:pPr>
    </w:p>
    <w:p w:rsidR="00ED107F" w:rsidRDefault="00ED107F" w:rsidP="00EC4FE5">
      <w:pPr>
        <w:pStyle w:val="MoENumberedList"/>
        <w:spacing w:after="0"/>
        <w:ind w:left="0" w:firstLine="0"/>
        <w:jc w:val="both"/>
        <w:rPr>
          <w:sz w:val="22"/>
        </w:rPr>
      </w:pPr>
      <w:r w:rsidRPr="00E0793F">
        <w:rPr>
          <w:sz w:val="22"/>
        </w:rPr>
        <w:t xml:space="preserve">The structure of the </w:t>
      </w:r>
      <w:r w:rsidR="00E0793F">
        <w:rPr>
          <w:sz w:val="22"/>
        </w:rPr>
        <w:t xml:space="preserve">base component of operational grant funding is complex. The initial value of base funding differs </w:t>
      </w:r>
      <w:r w:rsidRPr="00E0793F">
        <w:rPr>
          <w:sz w:val="22"/>
        </w:rPr>
        <w:t>significantly depending on school type, as does the rate and structure of abatement as the school roll increases, and the final value of base funding.</w:t>
      </w:r>
      <w:r w:rsidR="00E0793F">
        <w:rPr>
          <w:sz w:val="22"/>
        </w:rPr>
        <w:t xml:space="preserve"> Key fe</w:t>
      </w:r>
      <w:r w:rsidR="00E31C8B">
        <w:rPr>
          <w:sz w:val="22"/>
        </w:rPr>
        <w:t>atures are summarised in Table 2</w:t>
      </w:r>
      <w:r w:rsidR="00E0793F">
        <w:rPr>
          <w:sz w:val="22"/>
        </w:rPr>
        <w:t xml:space="preserve">. </w:t>
      </w:r>
    </w:p>
    <w:p w:rsidR="00E31C8B" w:rsidRDefault="00E31C8B" w:rsidP="00EC4FE5">
      <w:pPr>
        <w:pStyle w:val="MoENumberedList"/>
        <w:spacing w:after="0"/>
        <w:ind w:left="0" w:firstLine="0"/>
        <w:jc w:val="both"/>
        <w:rPr>
          <w:sz w:val="22"/>
        </w:rPr>
      </w:pPr>
    </w:p>
    <w:p w:rsidR="00E0793F" w:rsidRDefault="00E0793F" w:rsidP="00064638">
      <w:pPr>
        <w:pStyle w:val="MoENumberedList"/>
        <w:spacing w:after="0"/>
        <w:ind w:left="0" w:firstLine="0"/>
        <w:jc w:val="center"/>
        <w:rPr>
          <w:b/>
          <w:sz w:val="22"/>
        </w:rPr>
      </w:pPr>
      <w:r w:rsidRPr="009C3C1B">
        <w:rPr>
          <w:b/>
          <w:sz w:val="22"/>
        </w:rPr>
        <w:t>T</w:t>
      </w:r>
      <w:r w:rsidR="00E31C8B">
        <w:rPr>
          <w:b/>
          <w:sz w:val="22"/>
        </w:rPr>
        <w:t>able 2</w:t>
      </w:r>
      <w:r w:rsidRPr="009C3C1B">
        <w:rPr>
          <w:b/>
          <w:sz w:val="22"/>
        </w:rPr>
        <w:t>: Structure of base operational grant funding by school type</w:t>
      </w:r>
      <w:r w:rsidR="00224984">
        <w:rPr>
          <w:b/>
          <w:sz w:val="22"/>
        </w:rPr>
        <w:t xml:space="preserve"> (201</w:t>
      </w:r>
      <w:r w:rsidR="00E543B4">
        <w:rPr>
          <w:b/>
          <w:sz w:val="22"/>
        </w:rPr>
        <w:t>6</w:t>
      </w:r>
      <w:r w:rsidR="00224984">
        <w:rPr>
          <w:b/>
          <w:sz w:val="22"/>
        </w:rPr>
        <w:t>)</w:t>
      </w:r>
    </w:p>
    <w:p w:rsidR="00EC4FE5" w:rsidRPr="00EC4FE5" w:rsidRDefault="00EC4FE5" w:rsidP="009C3C1B">
      <w:pPr>
        <w:pStyle w:val="MoENumberedList"/>
        <w:spacing w:after="0"/>
        <w:ind w:left="0" w:firstLine="0"/>
        <w:jc w:val="both"/>
        <w:rPr>
          <w:b/>
          <w:szCs w:val="20"/>
        </w:rPr>
      </w:pPr>
    </w:p>
    <w:tbl>
      <w:tblPr>
        <w:tblStyle w:val="TableGrid"/>
        <w:tblW w:w="5000" w:type="pct"/>
        <w:tblInd w:w="108" w:type="dxa"/>
        <w:tblLook w:val="04A0"/>
      </w:tblPr>
      <w:tblGrid>
        <w:gridCol w:w="1985"/>
        <w:gridCol w:w="1967"/>
        <w:gridCol w:w="1974"/>
        <w:gridCol w:w="1974"/>
        <w:gridCol w:w="2062"/>
      </w:tblGrid>
      <w:tr w:rsidR="00E543B4" w:rsidRPr="003A55AF" w:rsidTr="00E543B4">
        <w:trPr>
          <w:cnfStyle w:val="100000000000"/>
          <w:trHeight w:val="746"/>
        </w:trPr>
        <w:tc>
          <w:tcPr>
            <w:cnfStyle w:val="001000000000"/>
            <w:tcW w:w="996" w:type="pct"/>
            <w:tcBorders>
              <w:bottom w:val="single" w:sz="4" w:space="0" w:color="auto"/>
            </w:tcBorders>
          </w:tcPr>
          <w:p w:rsidR="00ED107F" w:rsidRPr="003A55AF" w:rsidRDefault="00ED107F" w:rsidP="00EC4FE5">
            <w:pPr>
              <w:ind w:left="0"/>
              <w:rPr>
                <w:rFonts w:ascii="Arial" w:hAnsi="Arial" w:cs="Arial"/>
                <w:sz w:val="22"/>
              </w:rPr>
            </w:pPr>
            <w:r w:rsidRPr="003A55AF">
              <w:rPr>
                <w:rFonts w:ascii="Arial" w:hAnsi="Arial" w:cs="Arial"/>
                <w:sz w:val="22"/>
              </w:rPr>
              <w:t>Full/ Contributing Primary</w:t>
            </w:r>
          </w:p>
        </w:tc>
        <w:tc>
          <w:tcPr>
            <w:tcW w:w="987" w:type="pct"/>
            <w:tcBorders>
              <w:bottom w:val="single" w:sz="4" w:space="0" w:color="auto"/>
            </w:tcBorders>
          </w:tcPr>
          <w:p w:rsidR="00ED107F" w:rsidRPr="003A55AF" w:rsidRDefault="00ED107F" w:rsidP="00EC4FE5">
            <w:pPr>
              <w:ind w:left="0"/>
              <w:cnfStyle w:val="100000000000"/>
              <w:rPr>
                <w:rFonts w:ascii="Arial" w:hAnsi="Arial" w:cs="Arial"/>
                <w:sz w:val="22"/>
              </w:rPr>
            </w:pPr>
            <w:r w:rsidRPr="003A55AF">
              <w:rPr>
                <w:rFonts w:ascii="Arial" w:hAnsi="Arial" w:cs="Arial"/>
                <w:sz w:val="22"/>
              </w:rPr>
              <w:t>Intermediate</w:t>
            </w:r>
          </w:p>
        </w:tc>
        <w:tc>
          <w:tcPr>
            <w:tcW w:w="991" w:type="pct"/>
            <w:tcBorders>
              <w:bottom w:val="single" w:sz="4" w:space="0" w:color="auto"/>
            </w:tcBorders>
          </w:tcPr>
          <w:p w:rsidR="00E841B4" w:rsidRPr="003A55AF" w:rsidRDefault="00E841B4" w:rsidP="00EC4FE5">
            <w:pPr>
              <w:ind w:left="0"/>
              <w:cnfStyle w:val="100000000000"/>
              <w:rPr>
                <w:rFonts w:ascii="Arial" w:hAnsi="Arial" w:cs="Arial"/>
                <w:sz w:val="22"/>
              </w:rPr>
            </w:pPr>
            <w:r w:rsidRPr="003A55AF">
              <w:rPr>
                <w:rFonts w:ascii="Arial" w:hAnsi="Arial" w:cs="Arial"/>
                <w:sz w:val="22"/>
              </w:rPr>
              <w:t>Secondary</w:t>
            </w:r>
          </w:p>
          <w:p w:rsidR="00ED107F" w:rsidRPr="003A55AF" w:rsidRDefault="00ED107F" w:rsidP="00EC4FE5">
            <w:pPr>
              <w:ind w:left="0"/>
              <w:cnfStyle w:val="100000000000"/>
              <w:rPr>
                <w:rFonts w:ascii="Arial" w:hAnsi="Arial" w:cs="Arial"/>
                <w:sz w:val="22"/>
              </w:rPr>
            </w:pPr>
            <w:r w:rsidRPr="003A55AF">
              <w:rPr>
                <w:rFonts w:ascii="Arial" w:hAnsi="Arial" w:cs="Arial"/>
                <w:sz w:val="22"/>
              </w:rPr>
              <w:t>Year 7 – 15</w:t>
            </w:r>
          </w:p>
        </w:tc>
        <w:tc>
          <w:tcPr>
            <w:tcW w:w="991" w:type="pct"/>
            <w:tcBorders>
              <w:bottom w:val="single" w:sz="4" w:space="0" w:color="auto"/>
            </w:tcBorders>
          </w:tcPr>
          <w:p w:rsidR="00E841B4" w:rsidRPr="003A55AF" w:rsidRDefault="00E841B4" w:rsidP="00EC4FE5">
            <w:pPr>
              <w:ind w:left="0"/>
              <w:cnfStyle w:val="100000000000"/>
              <w:rPr>
                <w:rFonts w:ascii="Arial" w:hAnsi="Arial" w:cs="Arial"/>
                <w:sz w:val="22"/>
              </w:rPr>
            </w:pPr>
            <w:r w:rsidRPr="003A55AF">
              <w:rPr>
                <w:rFonts w:ascii="Arial" w:hAnsi="Arial" w:cs="Arial"/>
                <w:sz w:val="22"/>
              </w:rPr>
              <w:t>Secondary</w:t>
            </w:r>
          </w:p>
          <w:p w:rsidR="00ED107F" w:rsidRPr="003A55AF" w:rsidRDefault="00ED107F" w:rsidP="00EC4FE5">
            <w:pPr>
              <w:ind w:left="0"/>
              <w:cnfStyle w:val="100000000000"/>
              <w:rPr>
                <w:rFonts w:ascii="Arial" w:hAnsi="Arial" w:cs="Arial"/>
                <w:sz w:val="22"/>
              </w:rPr>
            </w:pPr>
            <w:r w:rsidRPr="003A55AF">
              <w:rPr>
                <w:rFonts w:ascii="Arial" w:hAnsi="Arial" w:cs="Arial"/>
                <w:sz w:val="22"/>
              </w:rPr>
              <w:t>Year 9 - 15</w:t>
            </w:r>
          </w:p>
        </w:tc>
        <w:tc>
          <w:tcPr>
            <w:tcW w:w="1035" w:type="pct"/>
            <w:tcBorders>
              <w:bottom w:val="single" w:sz="4" w:space="0" w:color="auto"/>
            </w:tcBorders>
          </w:tcPr>
          <w:p w:rsidR="00E841B4" w:rsidRPr="003A55AF" w:rsidRDefault="00E841B4" w:rsidP="00EC4FE5">
            <w:pPr>
              <w:ind w:left="0"/>
              <w:cnfStyle w:val="100000000000"/>
              <w:rPr>
                <w:rFonts w:ascii="Arial" w:hAnsi="Arial" w:cs="Arial"/>
                <w:sz w:val="22"/>
              </w:rPr>
            </w:pPr>
            <w:r w:rsidRPr="003A55AF">
              <w:rPr>
                <w:rFonts w:ascii="Arial" w:hAnsi="Arial" w:cs="Arial"/>
                <w:sz w:val="22"/>
              </w:rPr>
              <w:t>Composite</w:t>
            </w:r>
          </w:p>
          <w:p w:rsidR="00ED107F" w:rsidRPr="003A55AF" w:rsidRDefault="00ED107F" w:rsidP="00EC4FE5">
            <w:pPr>
              <w:ind w:left="0"/>
              <w:cnfStyle w:val="100000000000"/>
              <w:rPr>
                <w:rFonts w:ascii="Arial" w:hAnsi="Arial" w:cs="Arial"/>
                <w:sz w:val="22"/>
              </w:rPr>
            </w:pPr>
            <w:r w:rsidRPr="003A55AF">
              <w:rPr>
                <w:rFonts w:ascii="Arial" w:hAnsi="Arial" w:cs="Arial"/>
                <w:sz w:val="22"/>
              </w:rPr>
              <w:t>Year 1 – 15</w:t>
            </w:r>
          </w:p>
        </w:tc>
      </w:tr>
      <w:tr w:rsidR="00E543B4" w:rsidRPr="00FF2884" w:rsidTr="00E543B4">
        <w:trPr>
          <w:cnfStyle w:val="000000100000"/>
        </w:trPr>
        <w:tc>
          <w:tcPr>
            <w:cnfStyle w:val="001000000000"/>
            <w:tcW w:w="996" w:type="pct"/>
            <w:tcBorders>
              <w:top w:val="single" w:sz="4" w:space="0" w:color="auto"/>
              <w:left w:val="single" w:sz="4" w:space="0" w:color="auto"/>
              <w:bottom w:val="single" w:sz="4" w:space="0" w:color="auto"/>
              <w:right w:val="single" w:sz="4" w:space="0" w:color="auto"/>
            </w:tcBorders>
          </w:tcPr>
          <w:p w:rsidR="00E0793F" w:rsidRPr="00FF2884" w:rsidRDefault="00ED107F" w:rsidP="00EF4994">
            <w:pPr>
              <w:pStyle w:val="MoENumberedList"/>
              <w:spacing w:before="0" w:after="0"/>
              <w:ind w:left="0" w:firstLine="0"/>
              <w:rPr>
                <w:sz w:val="22"/>
              </w:rPr>
            </w:pPr>
            <w:r w:rsidRPr="00FF2884">
              <w:rPr>
                <w:sz w:val="22"/>
              </w:rPr>
              <w:t>$27,936</w:t>
            </w:r>
            <w:r w:rsidR="00E543B4">
              <w:rPr>
                <w:sz w:val="22"/>
              </w:rPr>
              <w:t xml:space="preserve"> </w:t>
            </w:r>
            <w:r w:rsidRPr="00FF2884">
              <w:rPr>
                <w:sz w:val="22"/>
              </w:rPr>
              <w:t>for up to 25 students</w:t>
            </w:r>
            <w:r w:rsidRPr="00FF2884">
              <w:rPr>
                <w:sz w:val="22"/>
              </w:rPr>
              <w:br/>
            </w:r>
          </w:p>
          <w:p w:rsidR="00ED107F" w:rsidRPr="00FF2884" w:rsidRDefault="00ED107F" w:rsidP="00EF4994">
            <w:pPr>
              <w:pStyle w:val="MoENumberedList"/>
              <w:spacing w:before="0" w:after="0"/>
              <w:ind w:left="0" w:firstLine="0"/>
              <w:rPr>
                <w:sz w:val="22"/>
              </w:rPr>
            </w:pPr>
            <w:r w:rsidRPr="00FF2884">
              <w:rPr>
                <w:sz w:val="22"/>
              </w:rPr>
              <w:t>$2,684</w:t>
            </w:r>
            <w:r w:rsidR="00E543B4">
              <w:rPr>
                <w:sz w:val="22"/>
              </w:rPr>
              <w:t xml:space="preserve"> </w:t>
            </w:r>
            <w:r w:rsidRPr="00FF2884">
              <w:rPr>
                <w:sz w:val="22"/>
              </w:rPr>
              <w:t xml:space="preserve">for over 403 students </w:t>
            </w:r>
          </w:p>
          <w:p w:rsidR="00E0793F" w:rsidRPr="00FF2884" w:rsidRDefault="00E0793F" w:rsidP="00EF4994">
            <w:pPr>
              <w:pStyle w:val="MoENumberedList"/>
              <w:spacing w:before="0" w:after="0"/>
              <w:ind w:left="0" w:firstLine="0"/>
              <w:rPr>
                <w:sz w:val="22"/>
              </w:rPr>
            </w:pPr>
          </w:p>
          <w:p w:rsidR="00ED107F" w:rsidRPr="00FF2884" w:rsidRDefault="00ED107F" w:rsidP="00EF4994">
            <w:pPr>
              <w:pStyle w:val="MoENumberedList"/>
              <w:spacing w:before="0" w:after="0"/>
              <w:ind w:left="0" w:firstLine="0"/>
              <w:rPr>
                <w:sz w:val="22"/>
              </w:rPr>
            </w:pPr>
            <w:r w:rsidRPr="00FF2884">
              <w:rPr>
                <w:sz w:val="22"/>
              </w:rPr>
              <w:t>(90% abatement)</w:t>
            </w:r>
          </w:p>
        </w:tc>
        <w:tc>
          <w:tcPr>
            <w:tcW w:w="987" w:type="pct"/>
            <w:tcBorders>
              <w:top w:val="single" w:sz="4" w:space="0" w:color="auto"/>
              <w:left w:val="single" w:sz="4" w:space="0" w:color="auto"/>
              <w:bottom w:val="single" w:sz="4" w:space="0" w:color="auto"/>
              <w:right w:val="single" w:sz="4" w:space="0" w:color="auto"/>
            </w:tcBorders>
          </w:tcPr>
          <w:p w:rsidR="00ED107F" w:rsidRPr="00FF2884" w:rsidRDefault="00ED107F" w:rsidP="00EF4994">
            <w:pPr>
              <w:pStyle w:val="MoENumberedList"/>
              <w:spacing w:before="0" w:after="0"/>
              <w:ind w:left="0" w:firstLine="0"/>
              <w:cnfStyle w:val="000000100000"/>
              <w:rPr>
                <w:sz w:val="22"/>
              </w:rPr>
            </w:pPr>
            <w:r w:rsidRPr="00FF2884">
              <w:rPr>
                <w:sz w:val="22"/>
              </w:rPr>
              <w:t>$54,34</w:t>
            </w:r>
            <w:r w:rsidR="00E543B4">
              <w:rPr>
                <w:sz w:val="22"/>
              </w:rPr>
              <w:t xml:space="preserve">1 </w:t>
            </w:r>
            <w:r w:rsidRPr="00FF2884">
              <w:rPr>
                <w:sz w:val="22"/>
              </w:rPr>
              <w:t>for up to 300 students</w:t>
            </w:r>
          </w:p>
          <w:p w:rsidR="00E0793F" w:rsidRDefault="00E0793F" w:rsidP="00EF4994">
            <w:pPr>
              <w:pStyle w:val="MoENumberedList"/>
              <w:spacing w:before="0" w:after="0"/>
              <w:ind w:left="0" w:firstLine="0"/>
              <w:cnfStyle w:val="000000100000"/>
              <w:rPr>
                <w:sz w:val="22"/>
              </w:rPr>
            </w:pPr>
          </w:p>
          <w:p w:rsidR="00E0793F" w:rsidRPr="00FF2884" w:rsidRDefault="00ED107F" w:rsidP="00EF4994">
            <w:pPr>
              <w:pStyle w:val="MoENumberedList"/>
              <w:spacing w:before="0" w:after="0"/>
              <w:ind w:left="0" w:firstLine="0"/>
              <w:cnfStyle w:val="000000100000"/>
              <w:rPr>
                <w:sz w:val="22"/>
              </w:rPr>
            </w:pPr>
            <w:r w:rsidRPr="00FF2884">
              <w:rPr>
                <w:sz w:val="22"/>
              </w:rPr>
              <w:t>$3,24</w:t>
            </w:r>
            <w:r w:rsidR="00E543B4">
              <w:rPr>
                <w:sz w:val="22"/>
              </w:rPr>
              <w:t>9</w:t>
            </w:r>
            <w:r w:rsidR="00FE507B">
              <w:rPr>
                <w:sz w:val="22"/>
              </w:rPr>
              <w:t xml:space="preserve"> </w:t>
            </w:r>
            <w:r w:rsidRPr="00FF2884">
              <w:rPr>
                <w:sz w:val="22"/>
              </w:rPr>
              <w:t xml:space="preserve">for over 527 students </w:t>
            </w:r>
          </w:p>
          <w:p w:rsidR="00E0793F" w:rsidRPr="00FF2884" w:rsidRDefault="00E0793F" w:rsidP="00EF4994">
            <w:pPr>
              <w:pStyle w:val="MoENumberedList"/>
              <w:spacing w:before="0" w:after="0"/>
              <w:ind w:left="0" w:firstLine="0"/>
              <w:cnfStyle w:val="000000100000"/>
              <w:rPr>
                <w:sz w:val="22"/>
              </w:rPr>
            </w:pPr>
          </w:p>
          <w:p w:rsidR="00ED107F" w:rsidRPr="00FF2884" w:rsidRDefault="00ED107F" w:rsidP="00EF4994">
            <w:pPr>
              <w:pStyle w:val="MoENumberedList"/>
              <w:spacing w:before="0" w:after="0"/>
              <w:ind w:left="0" w:firstLine="0"/>
              <w:cnfStyle w:val="000000100000"/>
              <w:rPr>
                <w:sz w:val="22"/>
              </w:rPr>
            </w:pPr>
            <w:r w:rsidRPr="00FF2884">
              <w:rPr>
                <w:sz w:val="22"/>
              </w:rPr>
              <w:t>(94% abatement)</w:t>
            </w:r>
          </w:p>
        </w:tc>
        <w:tc>
          <w:tcPr>
            <w:tcW w:w="991" w:type="pct"/>
            <w:tcBorders>
              <w:top w:val="single" w:sz="4" w:space="0" w:color="auto"/>
              <w:left w:val="single" w:sz="4" w:space="0" w:color="auto"/>
              <w:bottom w:val="single" w:sz="4" w:space="0" w:color="auto"/>
              <w:right w:val="single" w:sz="4" w:space="0" w:color="auto"/>
            </w:tcBorders>
          </w:tcPr>
          <w:p w:rsidR="00ED107F" w:rsidRPr="00FF2884" w:rsidRDefault="00ED107F" w:rsidP="00EF4994">
            <w:pPr>
              <w:pStyle w:val="MoENumberedList"/>
              <w:spacing w:before="0" w:after="0"/>
              <w:ind w:left="0" w:firstLine="0"/>
              <w:cnfStyle w:val="000000100000"/>
              <w:rPr>
                <w:sz w:val="22"/>
              </w:rPr>
            </w:pPr>
            <w:r w:rsidRPr="00FF2884">
              <w:rPr>
                <w:sz w:val="22"/>
              </w:rPr>
              <w:t>$166,378</w:t>
            </w:r>
            <w:r w:rsidR="00E543B4">
              <w:rPr>
                <w:sz w:val="22"/>
              </w:rPr>
              <w:t xml:space="preserve"> </w:t>
            </w:r>
            <w:r w:rsidRPr="00FF2884">
              <w:rPr>
                <w:sz w:val="22"/>
              </w:rPr>
              <w:t>for up to 375 students</w:t>
            </w:r>
          </w:p>
          <w:p w:rsidR="00C40E44" w:rsidRDefault="00C40E44" w:rsidP="00EF4994">
            <w:pPr>
              <w:pStyle w:val="MoENumberedList"/>
              <w:spacing w:before="0" w:after="0"/>
              <w:ind w:left="0" w:firstLine="0"/>
              <w:cnfStyle w:val="000000100000"/>
              <w:rPr>
                <w:sz w:val="22"/>
              </w:rPr>
            </w:pPr>
          </w:p>
          <w:p w:rsidR="00ED107F" w:rsidRPr="00FF2884" w:rsidRDefault="00182AED" w:rsidP="00EF4994">
            <w:pPr>
              <w:pStyle w:val="MoENumberedList"/>
              <w:spacing w:before="0" w:after="0"/>
              <w:ind w:left="0" w:firstLine="0"/>
              <w:cnfStyle w:val="000000100000"/>
              <w:rPr>
                <w:sz w:val="22"/>
              </w:rPr>
            </w:pPr>
            <w:r>
              <w:rPr>
                <w:sz w:val="22"/>
              </w:rPr>
              <w:t>$</w:t>
            </w:r>
            <w:r w:rsidR="00ED107F" w:rsidRPr="00FF2884">
              <w:rPr>
                <w:sz w:val="22"/>
              </w:rPr>
              <w:t>61,23</w:t>
            </w:r>
            <w:r w:rsidR="00E543B4">
              <w:rPr>
                <w:sz w:val="22"/>
              </w:rPr>
              <w:t>5</w:t>
            </w:r>
            <w:r w:rsidR="00ED107F" w:rsidRPr="00FF2884">
              <w:rPr>
                <w:sz w:val="22"/>
              </w:rPr>
              <w:t xml:space="preserve"> for over 900 students</w:t>
            </w:r>
          </w:p>
          <w:p w:rsidR="00C80335" w:rsidRPr="00FF2884" w:rsidRDefault="00C80335" w:rsidP="00EF4994">
            <w:pPr>
              <w:pStyle w:val="MoENumberedList"/>
              <w:spacing w:before="0" w:after="0"/>
              <w:ind w:left="0" w:firstLine="0"/>
              <w:cnfStyle w:val="000000100000"/>
              <w:rPr>
                <w:sz w:val="22"/>
              </w:rPr>
            </w:pPr>
          </w:p>
          <w:p w:rsidR="00ED107F" w:rsidRPr="00FF2884" w:rsidRDefault="00ED107F" w:rsidP="00EF4994">
            <w:pPr>
              <w:pStyle w:val="MoENumberedList"/>
              <w:spacing w:before="0" w:after="0"/>
              <w:ind w:left="0" w:firstLine="0"/>
              <w:cnfStyle w:val="000000100000"/>
              <w:rPr>
                <w:sz w:val="22"/>
              </w:rPr>
            </w:pPr>
            <w:r w:rsidRPr="00FF2884">
              <w:rPr>
                <w:sz w:val="22"/>
              </w:rPr>
              <w:t> (64% abatement)</w:t>
            </w:r>
          </w:p>
        </w:tc>
        <w:tc>
          <w:tcPr>
            <w:tcW w:w="991" w:type="pct"/>
            <w:tcBorders>
              <w:top w:val="single" w:sz="4" w:space="0" w:color="auto"/>
              <w:left w:val="single" w:sz="4" w:space="0" w:color="auto"/>
              <w:bottom w:val="single" w:sz="4" w:space="0" w:color="auto"/>
              <w:right w:val="single" w:sz="4" w:space="0" w:color="auto"/>
            </w:tcBorders>
          </w:tcPr>
          <w:p w:rsidR="00ED107F" w:rsidRPr="00FF2884" w:rsidRDefault="00ED107F" w:rsidP="00EF4994">
            <w:pPr>
              <w:pStyle w:val="MoENumberedList"/>
              <w:spacing w:before="0" w:after="0"/>
              <w:ind w:left="0" w:firstLine="0"/>
              <w:cnfStyle w:val="000000100000"/>
              <w:rPr>
                <w:sz w:val="22"/>
              </w:rPr>
            </w:pPr>
            <w:r w:rsidRPr="00FF2884">
              <w:rPr>
                <w:sz w:val="22"/>
              </w:rPr>
              <w:t>$136,338</w:t>
            </w:r>
            <w:r w:rsidR="00E543B4">
              <w:rPr>
                <w:sz w:val="22"/>
              </w:rPr>
              <w:t xml:space="preserve"> </w:t>
            </w:r>
            <w:r w:rsidRPr="00FF2884">
              <w:rPr>
                <w:sz w:val="22"/>
              </w:rPr>
              <w:t>for up to 300 students</w:t>
            </w:r>
          </w:p>
          <w:p w:rsidR="00C40E44" w:rsidRDefault="00C40E44" w:rsidP="00EF4994">
            <w:pPr>
              <w:pStyle w:val="MoENumberedList"/>
              <w:spacing w:before="0" w:after="0"/>
              <w:ind w:left="0" w:firstLine="0"/>
              <w:cnfStyle w:val="000000100000"/>
              <w:rPr>
                <w:sz w:val="22"/>
              </w:rPr>
            </w:pPr>
          </w:p>
          <w:p w:rsidR="00E0793F" w:rsidRPr="00FF2884" w:rsidRDefault="00182AED" w:rsidP="00EF4994">
            <w:pPr>
              <w:pStyle w:val="MoENumberedList"/>
              <w:spacing w:before="0" w:after="0"/>
              <w:ind w:left="0" w:firstLine="0"/>
              <w:cnfStyle w:val="000000100000"/>
              <w:rPr>
                <w:sz w:val="22"/>
              </w:rPr>
            </w:pPr>
            <w:r>
              <w:rPr>
                <w:sz w:val="22"/>
              </w:rPr>
              <w:t>$</w:t>
            </w:r>
            <w:r w:rsidR="00ED107F" w:rsidRPr="00FF2884">
              <w:rPr>
                <w:sz w:val="22"/>
              </w:rPr>
              <w:t>61,23</w:t>
            </w:r>
            <w:r w:rsidR="00E543B4">
              <w:rPr>
                <w:sz w:val="22"/>
              </w:rPr>
              <w:t>5</w:t>
            </w:r>
            <w:r w:rsidR="00442A98">
              <w:rPr>
                <w:sz w:val="22"/>
              </w:rPr>
              <w:t xml:space="preserve"> </w:t>
            </w:r>
            <w:r w:rsidR="00ED107F" w:rsidRPr="00FF2884">
              <w:rPr>
                <w:sz w:val="22"/>
              </w:rPr>
              <w:t xml:space="preserve">for over 900 students </w:t>
            </w:r>
          </w:p>
          <w:p w:rsidR="00E0793F" w:rsidRPr="00FF2884" w:rsidRDefault="00E0793F" w:rsidP="00EF4994">
            <w:pPr>
              <w:pStyle w:val="MoENumberedList"/>
              <w:spacing w:before="0" w:after="0"/>
              <w:ind w:left="0" w:firstLine="0"/>
              <w:cnfStyle w:val="000000100000"/>
              <w:rPr>
                <w:sz w:val="22"/>
              </w:rPr>
            </w:pPr>
          </w:p>
          <w:p w:rsidR="00ED107F" w:rsidRPr="00FF2884" w:rsidRDefault="00ED107F" w:rsidP="00EF4994">
            <w:pPr>
              <w:pStyle w:val="MoENumberedList"/>
              <w:spacing w:before="0" w:after="0"/>
              <w:ind w:left="0" w:firstLine="0"/>
              <w:cnfStyle w:val="000000100000"/>
              <w:rPr>
                <w:sz w:val="22"/>
              </w:rPr>
            </w:pPr>
            <w:r w:rsidRPr="00FF2884">
              <w:rPr>
                <w:sz w:val="22"/>
              </w:rPr>
              <w:t>(56% abatement)</w:t>
            </w:r>
          </w:p>
        </w:tc>
        <w:tc>
          <w:tcPr>
            <w:tcW w:w="1035" w:type="pct"/>
            <w:tcBorders>
              <w:top w:val="single" w:sz="4" w:space="0" w:color="auto"/>
              <w:left w:val="single" w:sz="4" w:space="0" w:color="auto"/>
              <w:bottom w:val="single" w:sz="4" w:space="0" w:color="auto"/>
              <w:right w:val="single" w:sz="4" w:space="0" w:color="auto"/>
            </w:tcBorders>
          </w:tcPr>
          <w:p w:rsidR="00ED107F" w:rsidRPr="00FF2884" w:rsidRDefault="00ED107F" w:rsidP="00EF4994">
            <w:pPr>
              <w:pStyle w:val="MoENumberedList"/>
              <w:spacing w:before="0" w:after="0"/>
              <w:ind w:left="0" w:firstLine="0"/>
              <w:cnfStyle w:val="000000100000"/>
              <w:rPr>
                <w:sz w:val="22"/>
              </w:rPr>
            </w:pPr>
            <w:r w:rsidRPr="00FF2884">
              <w:rPr>
                <w:sz w:val="22"/>
              </w:rPr>
              <w:t>$151,012</w:t>
            </w:r>
            <w:r w:rsidR="00E543B4">
              <w:rPr>
                <w:sz w:val="22"/>
              </w:rPr>
              <w:t xml:space="preserve"> </w:t>
            </w:r>
            <w:r w:rsidRPr="00FF2884">
              <w:rPr>
                <w:sz w:val="22"/>
              </w:rPr>
              <w:t>for up to 250 students</w:t>
            </w:r>
            <w:r w:rsidR="00E0793F" w:rsidRPr="008F1B43">
              <w:rPr>
                <w:sz w:val="22"/>
                <w:vertAlign w:val="superscript"/>
              </w:rPr>
              <w:footnoteReference w:id="2"/>
            </w:r>
          </w:p>
          <w:p w:rsidR="00C40E44" w:rsidRDefault="00C40E44" w:rsidP="00EF4994">
            <w:pPr>
              <w:pStyle w:val="MoENumberedList"/>
              <w:spacing w:before="0" w:after="0"/>
              <w:ind w:left="0" w:firstLine="0"/>
              <w:cnfStyle w:val="000000100000"/>
              <w:rPr>
                <w:sz w:val="22"/>
              </w:rPr>
            </w:pPr>
          </w:p>
          <w:p w:rsidR="00E0793F" w:rsidRPr="00FF2884" w:rsidRDefault="00ED107F" w:rsidP="00EF4994">
            <w:pPr>
              <w:pStyle w:val="MoENumberedList"/>
              <w:spacing w:before="0" w:after="0"/>
              <w:ind w:left="0" w:firstLine="0"/>
              <w:cnfStyle w:val="000000100000"/>
              <w:rPr>
                <w:sz w:val="22"/>
              </w:rPr>
            </w:pPr>
            <w:r w:rsidRPr="00FF2884">
              <w:rPr>
                <w:sz w:val="22"/>
              </w:rPr>
              <w:t>$61,23</w:t>
            </w:r>
            <w:r w:rsidR="00E543B4">
              <w:rPr>
                <w:sz w:val="22"/>
              </w:rPr>
              <w:t xml:space="preserve">5 </w:t>
            </w:r>
            <w:r w:rsidRPr="00FF2884">
              <w:rPr>
                <w:sz w:val="22"/>
              </w:rPr>
              <w:t xml:space="preserve">for over 900 students </w:t>
            </w:r>
          </w:p>
          <w:p w:rsidR="00E0793F" w:rsidRPr="00FF2884" w:rsidRDefault="00E0793F" w:rsidP="00EF4994">
            <w:pPr>
              <w:pStyle w:val="MoENumberedList"/>
              <w:spacing w:before="0" w:after="0"/>
              <w:ind w:left="0" w:firstLine="0"/>
              <w:cnfStyle w:val="000000100000"/>
              <w:rPr>
                <w:sz w:val="22"/>
              </w:rPr>
            </w:pPr>
          </w:p>
          <w:p w:rsidR="00ED107F" w:rsidRPr="00FF2884" w:rsidRDefault="00ED107F" w:rsidP="00EF4994">
            <w:pPr>
              <w:pStyle w:val="MoENumberedList"/>
              <w:spacing w:before="0" w:after="0"/>
              <w:ind w:left="0" w:firstLine="0"/>
              <w:cnfStyle w:val="000000100000"/>
              <w:rPr>
                <w:sz w:val="22"/>
              </w:rPr>
            </w:pPr>
            <w:r w:rsidRPr="00FF2884">
              <w:rPr>
                <w:sz w:val="22"/>
              </w:rPr>
              <w:t>(60% abatement)</w:t>
            </w:r>
          </w:p>
        </w:tc>
      </w:tr>
    </w:tbl>
    <w:p w:rsidR="00ED107F" w:rsidRDefault="00ED107F" w:rsidP="00CE62D3">
      <w:pPr>
        <w:pStyle w:val="MoENumberedList"/>
        <w:spacing w:after="0"/>
        <w:ind w:firstLine="0"/>
        <w:jc w:val="both"/>
        <w:rPr>
          <w:rFonts w:cs="Arial"/>
          <w:sz w:val="22"/>
        </w:rPr>
      </w:pPr>
    </w:p>
    <w:p w:rsidR="005A4DB5" w:rsidRPr="005A4DB5" w:rsidRDefault="005A4DB5" w:rsidP="00CE62D3">
      <w:pPr>
        <w:pStyle w:val="MoENumberedList"/>
        <w:spacing w:after="0"/>
        <w:ind w:left="0" w:firstLine="0"/>
        <w:jc w:val="both"/>
        <w:rPr>
          <w:sz w:val="22"/>
        </w:rPr>
      </w:pPr>
      <w:r w:rsidRPr="005A4DB5">
        <w:rPr>
          <w:sz w:val="22"/>
        </w:rPr>
        <w:t xml:space="preserve">The current structure of base funding implies that different school types face different levels of fixed costs, and that costs correlate differently to changes in roll size. </w:t>
      </w:r>
      <w:r w:rsidR="00CA2612">
        <w:rPr>
          <w:sz w:val="22"/>
        </w:rPr>
        <w:t xml:space="preserve">It is also notable that schools receive a level of base funding irrespective of roll size.  </w:t>
      </w:r>
    </w:p>
    <w:p w:rsidR="005A4DB5" w:rsidRPr="00E57577" w:rsidRDefault="005A4DB5" w:rsidP="00CE62D3">
      <w:pPr>
        <w:pStyle w:val="MoENumberedList"/>
        <w:spacing w:after="0"/>
        <w:ind w:firstLine="0"/>
        <w:jc w:val="both"/>
        <w:rPr>
          <w:rFonts w:cs="Arial"/>
          <w:sz w:val="22"/>
        </w:rPr>
      </w:pPr>
    </w:p>
    <w:p w:rsidR="008F5E83" w:rsidRDefault="008F5E83" w:rsidP="00CE62D3">
      <w:pPr>
        <w:pStyle w:val="MoENumberedList"/>
        <w:spacing w:after="0"/>
        <w:ind w:left="0" w:firstLine="0"/>
        <w:jc w:val="both"/>
        <w:rPr>
          <w:sz w:val="22"/>
        </w:rPr>
      </w:pPr>
      <w:r w:rsidRPr="00D14A38">
        <w:rPr>
          <w:sz w:val="22"/>
        </w:rPr>
        <w:t xml:space="preserve">The </w:t>
      </w:r>
      <w:r>
        <w:rPr>
          <w:sz w:val="22"/>
        </w:rPr>
        <w:t xml:space="preserve">structure of the base component </w:t>
      </w:r>
      <w:r w:rsidR="00FF2884">
        <w:rPr>
          <w:sz w:val="22"/>
        </w:rPr>
        <w:t xml:space="preserve">is not </w:t>
      </w:r>
      <w:r w:rsidR="00C15491">
        <w:rPr>
          <w:sz w:val="22"/>
        </w:rPr>
        <w:t xml:space="preserve">underpinned by quality costing information. </w:t>
      </w:r>
      <w:r>
        <w:rPr>
          <w:sz w:val="22"/>
        </w:rPr>
        <w:t xml:space="preserve">In large </w:t>
      </w:r>
      <w:r w:rsidR="00C6456A">
        <w:rPr>
          <w:sz w:val="22"/>
        </w:rPr>
        <w:t xml:space="preserve">part it </w:t>
      </w:r>
      <w:r>
        <w:rPr>
          <w:sz w:val="22"/>
        </w:rPr>
        <w:t xml:space="preserve">dates back to </w:t>
      </w:r>
      <w:r w:rsidR="00FF2884">
        <w:rPr>
          <w:sz w:val="22"/>
        </w:rPr>
        <w:t xml:space="preserve">1990 when the </w:t>
      </w:r>
      <w:r>
        <w:rPr>
          <w:sz w:val="22"/>
        </w:rPr>
        <w:t xml:space="preserve">overall operational grant was developed. The model for operational grant </w:t>
      </w:r>
      <w:r w:rsidR="009E0790">
        <w:rPr>
          <w:sz w:val="22"/>
        </w:rPr>
        <w:t xml:space="preserve">funding </w:t>
      </w:r>
      <w:r>
        <w:rPr>
          <w:sz w:val="22"/>
        </w:rPr>
        <w:t xml:space="preserve">was initially developed on the basis of what schools actually spent and was calibrated against the </w:t>
      </w:r>
      <w:r w:rsidRPr="00D14A38">
        <w:rPr>
          <w:sz w:val="22"/>
        </w:rPr>
        <w:t>projected budgets of a representative cross section of 24 New Zealand schools.</w:t>
      </w:r>
      <w:r>
        <w:rPr>
          <w:sz w:val="22"/>
        </w:rPr>
        <w:t xml:space="preserve"> However, </w:t>
      </w:r>
      <w:r w:rsidR="003A55AF">
        <w:rPr>
          <w:sz w:val="22"/>
        </w:rPr>
        <w:t>following negotiations between the g</w:t>
      </w:r>
      <w:r>
        <w:rPr>
          <w:sz w:val="22"/>
        </w:rPr>
        <w:t xml:space="preserve">overnment and the sector, it was agreed that the resulting funding would have seen some schools “unfairly funded” and funding was subsequently distributed based on a statistical assessment </w:t>
      </w:r>
      <w:r w:rsidR="00E841B4">
        <w:rPr>
          <w:sz w:val="22"/>
        </w:rPr>
        <w:t>that</w:t>
      </w:r>
      <w:r>
        <w:rPr>
          <w:sz w:val="22"/>
        </w:rPr>
        <w:t xml:space="preserve"> ensured that no school would end up worse off.</w:t>
      </w:r>
    </w:p>
    <w:p w:rsidR="00FF2884" w:rsidRDefault="00FF2884" w:rsidP="00CE62D3">
      <w:pPr>
        <w:pStyle w:val="MoENumberedList"/>
        <w:spacing w:after="0"/>
        <w:ind w:firstLine="0"/>
        <w:jc w:val="both"/>
        <w:rPr>
          <w:sz w:val="22"/>
        </w:rPr>
      </w:pPr>
    </w:p>
    <w:p w:rsidR="008F5E83" w:rsidRPr="00D14A38" w:rsidRDefault="008F5E83" w:rsidP="00CE62D3">
      <w:pPr>
        <w:pStyle w:val="MoENumberedList"/>
        <w:spacing w:after="0"/>
        <w:ind w:left="0" w:firstLine="0"/>
        <w:jc w:val="both"/>
        <w:rPr>
          <w:sz w:val="22"/>
        </w:rPr>
      </w:pPr>
      <w:r w:rsidRPr="00D14A38">
        <w:rPr>
          <w:sz w:val="22"/>
        </w:rPr>
        <w:t>Since 1990 base fun</w:t>
      </w:r>
      <w:r w:rsidR="003A55AF">
        <w:rPr>
          <w:sz w:val="22"/>
        </w:rPr>
        <w:t>ding has been adjusted on an ad-</w:t>
      </w:r>
      <w:r w:rsidRPr="00D14A38">
        <w:rPr>
          <w:sz w:val="22"/>
        </w:rPr>
        <w:t>hoc basis. Adjustments have sought to reflect policy decisions of the time, general movements in inflation and allocation</w:t>
      </w:r>
      <w:r w:rsidR="00215661">
        <w:rPr>
          <w:sz w:val="22"/>
        </w:rPr>
        <w:t>s to Vote Education in a given B</w:t>
      </w:r>
      <w:r w:rsidRPr="00D14A38">
        <w:rPr>
          <w:sz w:val="22"/>
        </w:rPr>
        <w:t>udget round.</w:t>
      </w:r>
    </w:p>
    <w:p w:rsidR="008F5E83" w:rsidRPr="00D14A38" w:rsidRDefault="008F5E83" w:rsidP="00CE62D3">
      <w:pPr>
        <w:pStyle w:val="MoENumberedList"/>
        <w:spacing w:after="0"/>
        <w:ind w:firstLine="0"/>
        <w:jc w:val="both"/>
        <w:rPr>
          <w:sz w:val="22"/>
        </w:rPr>
      </w:pPr>
    </w:p>
    <w:p w:rsidR="00C15491" w:rsidRDefault="00FF2884" w:rsidP="00CE62D3">
      <w:pPr>
        <w:pStyle w:val="MoENumberedList"/>
        <w:keepLines/>
        <w:suppressAutoHyphens/>
        <w:spacing w:after="0"/>
        <w:ind w:left="0" w:firstLine="0"/>
        <w:jc w:val="both"/>
        <w:rPr>
          <w:sz w:val="22"/>
        </w:rPr>
      </w:pPr>
      <w:r>
        <w:rPr>
          <w:sz w:val="22"/>
        </w:rPr>
        <w:t>In 2010</w:t>
      </w:r>
      <w:r w:rsidR="00E841B4">
        <w:rPr>
          <w:sz w:val="22"/>
        </w:rPr>
        <w:t>,</w:t>
      </w:r>
      <w:r>
        <w:rPr>
          <w:sz w:val="22"/>
        </w:rPr>
        <w:t xml:space="preserve"> a high level review of base funding w</w:t>
      </w:r>
      <w:r w:rsidR="00375F06">
        <w:rPr>
          <w:sz w:val="22"/>
        </w:rPr>
        <w:t>as undertaken, initially by Ern</w:t>
      </w:r>
      <w:r>
        <w:rPr>
          <w:sz w:val="22"/>
        </w:rPr>
        <w:t xml:space="preserve">st and Young and subsequently by the Ministry. Both reviews sought to </w:t>
      </w:r>
      <w:r w:rsidRPr="00220BEA">
        <w:rPr>
          <w:sz w:val="22"/>
        </w:rPr>
        <w:t>ascertain what basket of inputs faced by schools exhibited fixed cost profiles</w:t>
      </w:r>
      <w:r>
        <w:rPr>
          <w:sz w:val="22"/>
        </w:rPr>
        <w:t xml:space="preserve">. </w:t>
      </w:r>
      <w:r w:rsidR="00C15491">
        <w:rPr>
          <w:sz w:val="22"/>
        </w:rPr>
        <w:t xml:space="preserve">In both cases the analysis was based on </w:t>
      </w:r>
      <w:r w:rsidRPr="00220BEA">
        <w:rPr>
          <w:sz w:val="22"/>
        </w:rPr>
        <w:t>F</w:t>
      </w:r>
      <w:r w:rsidR="00E543B4">
        <w:rPr>
          <w:sz w:val="22"/>
        </w:rPr>
        <w:t xml:space="preserve">inancial Information Data System </w:t>
      </w:r>
      <w:r w:rsidRPr="00220BEA">
        <w:rPr>
          <w:sz w:val="22"/>
        </w:rPr>
        <w:t>data</w:t>
      </w:r>
      <w:r>
        <w:rPr>
          <w:sz w:val="22"/>
        </w:rPr>
        <w:t>, which is derived from schools</w:t>
      </w:r>
      <w:r w:rsidR="00C15491">
        <w:rPr>
          <w:sz w:val="22"/>
        </w:rPr>
        <w:t>’</w:t>
      </w:r>
      <w:r>
        <w:rPr>
          <w:sz w:val="22"/>
        </w:rPr>
        <w:t xml:space="preserve"> annual financial accounts</w:t>
      </w:r>
      <w:r w:rsidR="00C15491">
        <w:rPr>
          <w:sz w:val="22"/>
        </w:rPr>
        <w:t xml:space="preserve">. This data is subject to differences in the way schools record and report costs and does not provide the level of granularity required to enable a proper </w:t>
      </w:r>
      <w:r w:rsidR="00C15491" w:rsidRPr="00220BEA">
        <w:rPr>
          <w:sz w:val="22"/>
        </w:rPr>
        <w:t>identification of the inputs that go into running a schoo</w:t>
      </w:r>
      <w:r w:rsidR="00C15491">
        <w:rPr>
          <w:sz w:val="22"/>
        </w:rPr>
        <w:t xml:space="preserve">l and subsequently their prices. Notably, each came to </w:t>
      </w:r>
      <w:r w:rsidR="00C15491" w:rsidRPr="00220BEA">
        <w:rPr>
          <w:sz w:val="22"/>
        </w:rPr>
        <w:t>slightly different conclusions about what the basket of inputs should be</w:t>
      </w:r>
      <w:r w:rsidR="00375F06">
        <w:rPr>
          <w:sz w:val="22"/>
        </w:rPr>
        <w:t>.</w:t>
      </w:r>
    </w:p>
    <w:p w:rsidR="00CE62D3" w:rsidRDefault="00CE62D3">
      <w:pPr>
        <w:rPr>
          <w:rFonts w:ascii="Arial" w:eastAsiaTheme="minorHAnsi" w:hAnsi="Arial" w:cstheme="minorBidi"/>
          <w:sz w:val="22"/>
          <w:szCs w:val="22"/>
          <w:lang w:val="en-NZ"/>
        </w:rPr>
      </w:pPr>
    </w:p>
    <w:p w:rsidR="00C40E44" w:rsidRDefault="00C40E44" w:rsidP="00CE62D3">
      <w:pPr>
        <w:pStyle w:val="MoENumberedList"/>
        <w:spacing w:after="0"/>
        <w:ind w:left="0" w:firstLine="0"/>
        <w:jc w:val="both"/>
        <w:rPr>
          <w:sz w:val="22"/>
        </w:rPr>
      </w:pPr>
      <w:r>
        <w:rPr>
          <w:sz w:val="22"/>
        </w:rPr>
        <w:t xml:space="preserve">While it is not possible </w:t>
      </w:r>
      <w:r w:rsidR="001A03DD">
        <w:rPr>
          <w:sz w:val="22"/>
        </w:rPr>
        <w:t>without more detailed information on school costs to</w:t>
      </w:r>
      <w:r>
        <w:rPr>
          <w:sz w:val="22"/>
        </w:rPr>
        <w:t xml:space="preserve"> draw final conclusion</w:t>
      </w:r>
      <w:r w:rsidR="00375F06">
        <w:rPr>
          <w:sz w:val="22"/>
        </w:rPr>
        <w:t>s</w:t>
      </w:r>
      <w:r>
        <w:rPr>
          <w:sz w:val="22"/>
        </w:rPr>
        <w:t xml:space="preserve"> about the specific level of base funding that should be provided for different types of schools</w:t>
      </w:r>
      <w:r w:rsidR="003A55AF">
        <w:rPr>
          <w:sz w:val="22"/>
        </w:rPr>
        <w:t>,</w:t>
      </w:r>
      <w:r>
        <w:rPr>
          <w:sz w:val="22"/>
        </w:rPr>
        <w:t xml:space="preserve"> we offer the following broad observations:</w:t>
      </w:r>
    </w:p>
    <w:p w:rsidR="00C40E44" w:rsidRDefault="00C40E44" w:rsidP="00C80335">
      <w:pPr>
        <w:pStyle w:val="MoENumberedList"/>
        <w:ind w:left="0" w:firstLine="0"/>
        <w:jc w:val="both"/>
        <w:rPr>
          <w:sz w:val="22"/>
        </w:rPr>
      </w:pPr>
    </w:p>
    <w:p w:rsidR="005A4DB5" w:rsidRDefault="00C40E44" w:rsidP="00CE62D3">
      <w:pPr>
        <w:pStyle w:val="MoENumberedList"/>
        <w:numPr>
          <w:ilvl w:val="0"/>
          <w:numId w:val="19"/>
        </w:numPr>
        <w:ind w:left="567" w:hanging="283"/>
        <w:jc w:val="both"/>
        <w:rPr>
          <w:sz w:val="22"/>
        </w:rPr>
      </w:pPr>
      <w:r>
        <w:rPr>
          <w:sz w:val="22"/>
        </w:rPr>
        <w:t xml:space="preserve">It is not clear that in practice the nature </w:t>
      </w:r>
      <w:r w:rsidR="005A4DB5">
        <w:rPr>
          <w:sz w:val="22"/>
        </w:rPr>
        <w:t xml:space="preserve">and level </w:t>
      </w:r>
      <w:r>
        <w:rPr>
          <w:sz w:val="22"/>
        </w:rPr>
        <w:t xml:space="preserve">of fixed costs </w:t>
      </w:r>
      <w:r w:rsidRPr="00C80335">
        <w:rPr>
          <w:sz w:val="22"/>
        </w:rPr>
        <w:t xml:space="preserve">(e.g. board of trustee fees and expenses, rates, audit fees, etc) </w:t>
      </w:r>
      <w:r w:rsidR="005A4DB5">
        <w:rPr>
          <w:sz w:val="22"/>
        </w:rPr>
        <w:t>faced by different school types are as different as suggested by the current funding arrangements.</w:t>
      </w:r>
    </w:p>
    <w:p w:rsidR="00C6456A" w:rsidRDefault="00C6456A" w:rsidP="00C6456A">
      <w:pPr>
        <w:pStyle w:val="MoENumberedList"/>
        <w:ind w:firstLine="0"/>
        <w:jc w:val="both"/>
        <w:rPr>
          <w:sz w:val="22"/>
        </w:rPr>
      </w:pPr>
    </w:p>
    <w:p w:rsidR="00C6456A" w:rsidRDefault="005A4DB5" w:rsidP="00CE62D3">
      <w:pPr>
        <w:pStyle w:val="MoENumberedList"/>
        <w:numPr>
          <w:ilvl w:val="0"/>
          <w:numId w:val="19"/>
        </w:numPr>
        <w:spacing w:after="0"/>
        <w:ind w:left="567" w:hanging="283"/>
        <w:jc w:val="both"/>
        <w:rPr>
          <w:sz w:val="22"/>
        </w:rPr>
      </w:pPr>
      <w:r>
        <w:rPr>
          <w:sz w:val="22"/>
        </w:rPr>
        <w:t>Overall</w:t>
      </w:r>
      <w:r w:rsidR="003A55AF">
        <w:rPr>
          <w:sz w:val="22"/>
        </w:rPr>
        <w:t>,</w:t>
      </w:r>
      <w:r>
        <w:rPr>
          <w:sz w:val="22"/>
        </w:rPr>
        <w:t xml:space="preserve"> it would appear that secondary and composite schools are relatively generously treated as compared to primary schools</w:t>
      </w:r>
      <w:r w:rsidR="00C6456A">
        <w:rPr>
          <w:sz w:val="22"/>
        </w:rPr>
        <w:t xml:space="preserve"> across all roll sizes.</w:t>
      </w:r>
    </w:p>
    <w:p w:rsidR="00375F06" w:rsidRDefault="00375F06" w:rsidP="00375F06">
      <w:pPr>
        <w:pStyle w:val="ListParagraph"/>
      </w:pPr>
    </w:p>
    <w:p w:rsidR="00375F06" w:rsidRDefault="00375F06" w:rsidP="00CE62D3">
      <w:pPr>
        <w:pStyle w:val="MoENumberedList"/>
        <w:numPr>
          <w:ilvl w:val="0"/>
          <w:numId w:val="19"/>
        </w:numPr>
        <w:spacing w:after="0"/>
        <w:ind w:left="567" w:hanging="283"/>
        <w:jc w:val="both"/>
        <w:rPr>
          <w:sz w:val="22"/>
        </w:rPr>
      </w:pPr>
      <w:r>
        <w:rPr>
          <w:sz w:val="22"/>
        </w:rPr>
        <w:t xml:space="preserve">The idea that all schools receive </w:t>
      </w:r>
      <w:r w:rsidR="00FE507B">
        <w:rPr>
          <w:sz w:val="22"/>
        </w:rPr>
        <w:t>base</w:t>
      </w:r>
      <w:r>
        <w:rPr>
          <w:sz w:val="22"/>
        </w:rPr>
        <w:t xml:space="preserve"> funding, albeit a small</w:t>
      </w:r>
      <w:r w:rsidR="004D481C">
        <w:rPr>
          <w:sz w:val="22"/>
        </w:rPr>
        <w:t>er</w:t>
      </w:r>
      <w:r>
        <w:rPr>
          <w:sz w:val="22"/>
        </w:rPr>
        <w:t xml:space="preserve"> amount for larger </w:t>
      </w:r>
      <w:proofErr w:type="gramStart"/>
      <w:r>
        <w:rPr>
          <w:sz w:val="22"/>
        </w:rPr>
        <w:t>schools,</w:t>
      </w:r>
      <w:proofErr w:type="gramEnd"/>
      <w:r>
        <w:rPr>
          <w:sz w:val="22"/>
        </w:rPr>
        <w:t xml:space="preserve"> seems inconsistent with an objective that base funding is to support a viable network of provision.</w:t>
      </w:r>
    </w:p>
    <w:p w:rsidR="00FF2884" w:rsidRPr="002704CB" w:rsidRDefault="00FF2884" w:rsidP="00C15491">
      <w:pPr>
        <w:pStyle w:val="MoENumberedList"/>
        <w:ind w:left="1440" w:firstLine="0"/>
        <w:jc w:val="both"/>
        <w:rPr>
          <w:sz w:val="22"/>
        </w:rPr>
      </w:pPr>
    </w:p>
    <w:p w:rsidR="001A03DD" w:rsidRDefault="00C6456A" w:rsidP="00CE62D3">
      <w:pPr>
        <w:pStyle w:val="MoENumberedList"/>
        <w:spacing w:after="0"/>
        <w:ind w:left="0" w:firstLine="0"/>
        <w:jc w:val="both"/>
        <w:rPr>
          <w:color w:val="000000" w:themeColor="text1"/>
          <w:sz w:val="22"/>
        </w:rPr>
      </w:pPr>
      <w:r>
        <w:rPr>
          <w:rFonts w:cs="Arial"/>
          <w:sz w:val="22"/>
        </w:rPr>
        <w:t xml:space="preserve">We also note that overall the structure of base funding is relatively complex. For example, from publicly available information it would appear that Victoria, Australia has a simpler structure of base funding with a </w:t>
      </w:r>
      <w:r>
        <w:rPr>
          <w:color w:val="000000" w:themeColor="text1"/>
          <w:sz w:val="22"/>
        </w:rPr>
        <w:t>substantially common approach a</w:t>
      </w:r>
      <w:r w:rsidR="00E8520C">
        <w:rPr>
          <w:color w:val="000000" w:themeColor="text1"/>
          <w:sz w:val="22"/>
        </w:rPr>
        <w:t>cross dif</w:t>
      </w:r>
      <w:r w:rsidR="003A55AF">
        <w:rPr>
          <w:color w:val="000000" w:themeColor="text1"/>
          <w:sz w:val="22"/>
        </w:rPr>
        <w:t>ferent school</w:t>
      </w:r>
      <w:r w:rsidR="00E8520C">
        <w:rPr>
          <w:color w:val="000000" w:themeColor="text1"/>
          <w:sz w:val="22"/>
        </w:rPr>
        <w:t xml:space="preserve"> types. </w:t>
      </w:r>
      <w:r w:rsidR="001A03DD">
        <w:rPr>
          <w:color w:val="000000" w:themeColor="text1"/>
          <w:sz w:val="22"/>
        </w:rPr>
        <w:t>Further, at high roll levels</w:t>
      </w:r>
      <w:r w:rsidR="003A55AF">
        <w:rPr>
          <w:color w:val="000000" w:themeColor="text1"/>
          <w:sz w:val="22"/>
        </w:rPr>
        <w:t>,</w:t>
      </w:r>
      <w:r w:rsidR="001A03DD">
        <w:rPr>
          <w:color w:val="000000" w:themeColor="text1"/>
          <w:sz w:val="22"/>
        </w:rPr>
        <w:t xml:space="preserve"> base funding abates to zero.</w:t>
      </w:r>
    </w:p>
    <w:p w:rsidR="001A03DD" w:rsidRDefault="001A03DD" w:rsidP="00CE62D3">
      <w:pPr>
        <w:pStyle w:val="MoENumberedList"/>
        <w:spacing w:after="0"/>
        <w:ind w:left="0" w:firstLine="0"/>
        <w:jc w:val="both"/>
        <w:rPr>
          <w:color w:val="000000" w:themeColor="text1"/>
          <w:sz w:val="22"/>
        </w:rPr>
      </w:pPr>
    </w:p>
    <w:p w:rsidR="0018635E" w:rsidRPr="00291CBF" w:rsidRDefault="009375D1" w:rsidP="0018635E">
      <w:pPr>
        <w:pStyle w:val="MoENumberedList"/>
        <w:pBdr>
          <w:top w:val="single" w:sz="4" w:space="1" w:color="auto"/>
          <w:left w:val="single" w:sz="4" w:space="4" w:color="auto"/>
          <w:bottom w:val="single" w:sz="4" w:space="1" w:color="auto"/>
          <w:right w:val="single" w:sz="4" w:space="4" w:color="auto"/>
        </w:pBdr>
        <w:spacing w:after="0"/>
        <w:ind w:left="142" w:firstLine="0"/>
        <w:rPr>
          <w:rFonts w:cs="Arial"/>
          <w:i/>
          <w:sz w:val="22"/>
        </w:rPr>
      </w:pPr>
      <w:r>
        <w:rPr>
          <w:rFonts w:cs="Arial"/>
          <w:i/>
          <w:sz w:val="22"/>
        </w:rPr>
        <w:t>Question</w:t>
      </w:r>
      <w:r w:rsidR="00291CBF" w:rsidRPr="00291CBF">
        <w:rPr>
          <w:rFonts w:cs="Arial"/>
          <w:i/>
          <w:sz w:val="22"/>
        </w:rPr>
        <w:t>s for discussion</w:t>
      </w:r>
    </w:p>
    <w:p w:rsidR="00291CBF" w:rsidRDefault="00291CBF" w:rsidP="0018635E">
      <w:pPr>
        <w:pStyle w:val="MoENumberedList"/>
        <w:pBdr>
          <w:top w:val="single" w:sz="4" w:space="1" w:color="auto"/>
          <w:left w:val="single" w:sz="4" w:space="4" w:color="auto"/>
          <w:bottom w:val="single" w:sz="4" w:space="1" w:color="auto"/>
          <w:right w:val="single" w:sz="4" w:space="4" w:color="auto"/>
        </w:pBdr>
        <w:spacing w:after="0"/>
        <w:ind w:left="142" w:firstLine="0"/>
        <w:rPr>
          <w:rFonts w:cs="Arial"/>
          <w:i/>
          <w:sz w:val="22"/>
        </w:rPr>
      </w:pPr>
    </w:p>
    <w:p w:rsidR="001A03DD" w:rsidRPr="00C918A3" w:rsidRDefault="001A03DD" w:rsidP="0018635E">
      <w:pPr>
        <w:pStyle w:val="MoENumberedList"/>
        <w:pBdr>
          <w:top w:val="single" w:sz="4" w:space="1" w:color="auto"/>
          <w:left w:val="single" w:sz="4" w:space="4" w:color="auto"/>
          <w:bottom w:val="single" w:sz="4" w:space="1" w:color="auto"/>
          <w:right w:val="single" w:sz="4" w:space="4" w:color="auto"/>
        </w:pBdr>
        <w:spacing w:after="0"/>
        <w:ind w:left="142" w:firstLine="0"/>
        <w:rPr>
          <w:rFonts w:cs="Arial"/>
          <w:i/>
          <w:sz w:val="22"/>
        </w:rPr>
      </w:pPr>
      <w:r w:rsidRPr="00C918A3">
        <w:rPr>
          <w:rFonts w:cs="Arial"/>
          <w:i/>
          <w:sz w:val="22"/>
        </w:rPr>
        <w:t xml:space="preserve">What inputs into the operation of a school </w:t>
      </w:r>
      <w:r>
        <w:rPr>
          <w:rFonts w:cs="Arial"/>
          <w:i/>
          <w:sz w:val="22"/>
        </w:rPr>
        <w:t>hold a low correlation to roll size</w:t>
      </w:r>
      <w:r w:rsidRPr="00C918A3">
        <w:rPr>
          <w:rFonts w:cs="Arial"/>
          <w:i/>
          <w:sz w:val="22"/>
        </w:rPr>
        <w:t>?</w:t>
      </w:r>
    </w:p>
    <w:p w:rsidR="001A03DD" w:rsidRDefault="001A03DD" w:rsidP="0018635E">
      <w:pPr>
        <w:pStyle w:val="MoENumberedList"/>
        <w:pBdr>
          <w:top w:val="single" w:sz="4" w:space="1" w:color="auto"/>
          <w:left w:val="single" w:sz="4" w:space="4" w:color="auto"/>
          <w:bottom w:val="single" w:sz="4" w:space="1" w:color="auto"/>
          <w:right w:val="single" w:sz="4" w:space="4" w:color="auto"/>
        </w:pBdr>
        <w:spacing w:after="0"/>
        <w:ind w:left="142" w:firstLine="0"/>
        <w:rPr>
          <w:rFonts w:cs="Arial"/>
          <w:i/>
          <w:sz w:val="22"/>
        </w:rPr>
      </w:pPr>
    </w:p>
    <w:p w:rsidR="001A03DD" w:rsidRDefault="001A03DD" w:rsidP="0018635E">
      <w:pPr>
        <w:pStyle w:val="MoENumberedList"/>
        <w:pBdr>
          <w:top w:val="single" w:sz="4" w:space="1" w:color="auto"/>
          <w:left w:val="single" w:sz="4" w:space="4" w:color="auto"/>
          <w:bottom w:val="single" w:sz="4" w:space="1" w:color="auto"/>
          <w:right w:val="single" w:sz="4" w:space="4" w:color="auto"/>
        </w:pBdr>
        <w:spacing w:after="0"/>
        <w:ind w:left="142" w:firstLine="0"/>
        <w:rPr>
          <w:rFonts w:cs="Arial"/>
          <w:i/>
          <w:sz w:val="22"/>
        </w:rPr>
      </w:pPr>
      <w:r>
        <w:rPr>
          <w:rFonts w:cs="Arial"/>
          <w:i/>
          <w:sz w:val="22"/>
        </w:rPr>
        <w:t>How do these differ between different school types?</w:t>
      </w:r>
    </w:p>
    <w:p w:rsidR="00DD6DAA" w:rsidRDefault="00DD6DAA" w:rsidP="0018635E">
      <w:pPr>
        <w:pStyle w:val="MoENumberedList"/>
        <w:pBdr>
          <w:top w:val="single" w:sz="4" w:space="1" w:color="auto"/>
          <w:left w:val="single" w:sz="4" w:space="4" w:color="auto"/>
          <w:bottom w:val="single" w:sz="4" w:space="1" w:color="auto"/>
          <w:right w:val="single" w:sz="4" w:space="4" w:color="auto"/>
        </w:pBdr>
        <w:spacing w:after="0"/>
        <w:ind w:left="142" w:firstLine="0"/>
        <w:rPr>
          <w:rFonts w:cs="Arial"/>
          <w:i/>
          <w:sz w:val="22"/>
        </w:rPr>
      </w:pPr>
    </w:p>
    <w:p w:rsidR="004D481C" w:rsidRDefault="004D481C" w:rsidP="004D481C">
      <w:pPr>
        <w:pStyle w:val="MoENumberedList"/>
        <w:pBdr>
          <w:top w:val="single" w:sz="4" w:space="1" w:color="auto"/>
          <w:left w:val="single" w:sz="4" w:space="4" w:color="auto"/>
          <w:bottom w:val="single" w:sz="4" w:space="1" w:color="auto"/>
          <w:right w:val="single" w:sz="4" w:space="4" w:color="auto"/>
        </w:pBdr>
        <w:spacing w:after="0"/>
        <w:ind w:left="142" w:firstLine="0"/>
        <w:rPr>
          <w:rFonts w:cs="Arial"/>
          <w:i/>
          <w:sz w:val="22"/>
        </w:rPr>
      </w:pPr>
      <w:r>
        <w:rPr>
          <w:rFonts w:cs="Arial"/>
          <w:i/>
          <w:sz w:val="22"/>
        </w:rPr>
        <w:t>How could Communities of Learning help address challenges for small schools?</w:t>
      </w:r>
    </w:p>
    <w:p w:rsidR="004D481C" w:rsidRDefault="004D481C" w:rsidP="004D481C">
      <w:pPr>
        <w:pStyle w:val="MoENumberedList"/>
        <w:pBdr>
          <w:top w:val="single" w:sz="4" w:space="1" w:color="auto"/>
          <w:left w:val="single" w:sz="4" w:space="4" w:color="auto"/>
          <w:bottom w:val="single" w:sz="4" w:space="1" w:color="auto"/>
          <w:right w:val="single" w:sz="4" w:space="4" w:color="auto"/>
        </w:pBdr>
        <w:spacing w:after="0"/>
        <w:ind w:left="142" w:firstLine="0"/>
        <w:rPr>
          <w:rFonts w:cs="Arial"/>
          <w:i/>
          <w:sz w:val="22"/>
        </w:rPr>
      </w:pPr>
    </w:p>
    <w:p w:rsidR="00DD6DAA" w:rsidRDefault="00DD6DAA" w:rsidP="0018635E">
      <w:pPr>
        <w:pStyle w:val="MoENumberedList"/>
        <w:pBdr>
          <w:top w:val="single" w:sz="4" w:space="1" w:color="auto"/>
          <w:left w:val="single" w:sz="4" w:space="4" w:color="auto"/>
          <w:bottom w:val="single" w:sz="4" w:space="1" w:color="auto"/>
          <w:right w:val="single" w:sz="4" w:space="4" w:color="auto"/>
        </w:pBdr>
        <w:spacing w:after="0"/>
        <w:ind w:left="142" w:firstLine="0"/>
        <w:rPr>
          <w:rFonts w:cs="Arial"/>
          <w:i/>
          <w:sz w:val="22"/>
        </w:rPr>
      </w:pPr>
      <w:r>
        <w:rPr>
          <w:rFonts w:cs="Arial"/>
          <w:i/>
          <w:sz w:val="22"/>
        </w:rPr>
        <w:t>Is it desirable that base funding fully abates as roll size increases to provide more per-student funding?</w:t>
      </w:r>
    </w:p>
    <w:p w:rsidR="001A03DD" w:rsidRDefault="001A03DD" w:rsidP="0018635E">
      <w:pPr>
        <w:pStyle w:val="MoENumberedList"/>
        <w:pBdr>
          <w:top w:val="single" w:sz="4" w:space="1" w:color="auto"/>
          <w:left w:val="single" w:sz="4" w:space="4" w:color="auto"/>
          <w:bottom w:val="single" w:sz="4" w:space="1" w:color="auto"/>
          <w:right w:val="single" w:sz="4" w:space="4" w:color="auto"/>
        </w:pBdr>
        <w:spacing w:after="0"/>
        <w:ind w:left="142" w:firstLine="0"/>
        <w:rPr>
          <w:rFonts w:cs="Arial"/>
          <w:i/>
          <w:sz w:val="22"/>
        </w:rPr>
      </w:pPr>
    </w:p>
    <w:p w:rsidR="001A03DD" w:rsidRDefault="001A03DD" w:rsidP="0018635E">
      <w:pPr>
        <w:pStyle w:val="MoENumberedList"/>
        <w:pBdr>
          <w:top w:val="single" w:sz="4" w:space="1" w:color="auto"/>
          <w:left w:val="single" w:sz="4" w:space="4" w:color="auto"/>
          <w:bottom w:val="single" w:sz="4" w:space="1" w:color="auto"/>
          <w:right w:val="single" w:sz="4" w:space="4" w:color="auto"/>
        </w:pBdr>
        <w:spacing w:after="0"/>
        <w:ind w:left="142" w:firstLine="0"/>
        <w:rPr>
          <w:rFonts w:cs="Arial"/>
          <w:i/>
          <w:sz w:val="22"/>
        </w:rPr>
      </w:pPr>
      <w:r w:rsidRPr="00C918A3">
        <w:rPr>
          <w:rFonts w:cs="Arial"/>
          <w:i/>
          <w:sz w:val="22"/>
        </w:rPr>
        <w:t>What does this mean for current levels of base funding?</w:t>
      </w:r>
    </w:p>
    <w:p w:rsidR="0018635E" w:rsidRDefault="0018635E" w:rsidP="0018635E">
      <w:pPr>
        <w:pStyle w:val="MoENumberedList"/>
        <w:pBdr>
          <w:top w:val="single" w:sz="4" w:space="1" w:color="auto"/>
          <w:left w:val="single" w:sz="4" w:space="4" w:color="auto"/>
          <w:bottom w:val="single" w:sz="4" w:space="1" w:color="auto"/>
          <w:right w:val="single" w:sz="4" w:space="4" w:color="auto"/>
        </w:pBdr>
        <w:spacing w:after="0"/>
        <w:ind w:left="142" w:firstLine="0"/>
        <w:rPr>
          <w:rFonts w:cs="Arial"/>
          <w:i/>
          <w:sz w:val="16"/>
          <w:szCs w:val="16"/>
        </w:rPr>
      </w:pPr>
    </w:p>
    <w:p w:rsidR="00CA2612" w:rsidRDefault="00CA2612" w:rsidP="00CE62D3">
      <w:pPr>
        <w:rPr>
          <w:rFonts w:ascii="Arial" w:hAnsi="Arial" w:cs="Arial"/>
          <w:b/>
          <w:color w:val="4F81BD" w:themeColor="accent1"/>
        </w:rPr>
      </w:pPr>
    </w:p>
    <w:p w:rsidR="00DD48B2" w:rsidRPr="001A03DD" w:rsidRDefault="00DD48B2" w:rsidP="00CE62D3">
      <w:pPr>
        <w:rPr>
          <w:rFonts w:ascii="Arial" w:hAnsi="Arial" w:cs="Arial"/>
          <w:b/>
          <w:color w:val="4F81BD" w:themeColor="accent1"/>
        </w:rPr>
      </w:pPr>
      <w:r w:rsidRPr="001A03DD">
        <w:rPr>
          <w:rFonts w:ascii="Arial" w:hAnsi="Arial" w:cs="Arial"/>
          <w:b/>
          <w:color w:val="4F81BD" w:themeColor="accent1"/>
        </w:rPr>
        <w:t xml:space="preserve">Base </w:t>
      </w:r>
      <w:r w:rsidR="00291CBF">
        <w:rPr>
          <w:rFonts w:ascii="Arial" w:hAnsi="Arial" w:cs="Arial"/>
          <w:b/>
          <w:color w:val="4F81BD" w:themeColor="accent1"/>
        </w:rPr>
        <w:t>s</w:t>
      </w:r>
      <w:r w:rsidRPr="001A03DD">
        <w:rPr>
          <w:rFonts w:ascii="Arial" w:hAnsi="Arial" w:cs="Arial"/>
          <w:b/>
          <w:color w:val="4F81BD" w:themeColor="accent1"/>
        </w:rPr>
        <w:t>taffing</w:t>
      </w:r>
    </w:p>
    <w:p w:rsidR="00DD48B2" w:rsidRPr="0018635E" w:rsidRDefault="00DD48B2" w:rsidP="00DD48B2">
      <w:pPr>
        <w:pStyle w:val="MoENumberedList"/>
        <w:ind w:firstLine="0"/>
        <w:jc w:val="both"/>
        <w:rPr>
          <w:rFonts w:cs="Arial"/>
          <w:sz w:val="22"/>
        </w:rPr>
      </w:pPr>
    </w:p>
    <w:p w:rsidR="0052395C" w:rsidRPr="0052395C" w:rsidRDefault="00E8520C" w:rsidP="0052395C">
      <w:pPr>
        <w:pStyle w:val="MoENumberedList"/>
        <w:ind w:left="0" w:firstLine="0"/>
        <w:jc w:val="both"/>
        <w:rPr>
          <w:sz w:val="22"/>
        </w:rPr>
      </w:pPr>
      <w:r>
        <w:rPr>
          <w:sz w:val="22"/>
        </w:rPr>
        <w:t>A number of components reflecting different roles are used to determine</w:t>
      </w:r>
      <w:r w:rsidR="00DD48B2" w:rsidRPr="0052395C">
        <w:rPr>
          <w:sz w:val="22"/>
        </w:rPr>
        <w:t xml:space="preserve"> a school</w:t>
      </w:r>
      <w:r w:rsidR="00B651B5">
        <w:rPr>
          <w:sz w:val="22"/>
        </w:rPr>
        <w:t>’s overall staffing entitlement</w:t>
      </w:r>
      <w:r w:rsidR="00DD48B2" w:rsidRPr="0052395C">
        <w:rPr>
          <w:sz w:val="22"/>
        </w:rPr>
        <w:t xml:space="preserve"> </w:t>
      </w:r>
      <w:r w:rsidR="00B651B5">
        <w:rPr>
          <w:sz w:val="22"/>
        </w:rPr>
        <w:t>(</w:t>
      </w:r>
      <w:r w:rsidR="00DD48B2" w:rsidRPr="0052395C">
        <w:rPr>
          <w:sz w:val="22"/>
        </w:rPr>
        <w:t>management/leadership, delivery of the curriculum and pastoral care</w:t>
      </w:r>
      <w:r w:rsidR="00B651B5">
        <w:rPr>
          <w:sz w:val="22"/>
        </w:rPr>
        <w:t>)</w:t>
      </w:r>
      <w:r>
        <w:rPr>
          <w:sz w:val="22"/>
        </w:rPr>
        <w:t xml:space="preserve"> but</w:t>
      </w:r>
      <w:r w:rsidR="0052395C" w:rsidRPr="0052395C">
        <w:rPr>
          <w:sz w:val="22"/>
        </w:rPr>
        <w:t xml:space="preserve"> schools have flexibility in how they use their entitlement.</w:t>
      </w:r>
    </w:p>
    <w:p w:rsidR="0052395C" w:rsidRDefault="0052395C" w:rsidP="0052395C">
      <w:pPr>
        <w:pStyle w:val="MoENumberedList"/>
        <w:ind w:firstLine="0"/>
        <w:jc w:val="both"/>
        <w:rPr>
          <w:rFonts w:cs="Arial"/>
          <w:color w:val="000000" w:themeColor="text1"/>
          <w:sz w:val="22"/>
        </w:rPr>
      </w:pPr>
    </w:p>
    <w:p w:rsidR="00DD48B2" w:rsidRPr="0052395C" w:rsidRDefault="00DD48B2" w:rsidP="0052395C">
      <w:pPr>
        <w:pStyle w:val="MoENumberedList"/>
        <w:ind w:left="0" w:firstLine="0"/>
        <w:jc w:val="both"/>
        <w:rPr>
          <w:sz w:val="22"/>
        </w:rPr>
      </w:pPr>
      <w:r w:rsidRPr="0052395C">
        <w:rPr>
          <w:sz w:val="22"/>
        </w:rPr>
        <w:t xml:space="preserve">We </w:t>
      </w:r>
      <w:r w:rsidR="0052395C" w:rsidRPr="0052395C">
        <w:rPr>
          <w:sz w:val="22"/>
        </w:rPr>
        <w:t xml:space="preserve">have classified the following as </w:t>
      </w:r>
      <w:r w:rsidRPr="0052395C">
        <w:rPr>
          <w:sz w:val="22"/>
        </w:rPr>
        <w:t xml:space="preserve">providing </w:t>
      </w:r>
      <w:r w:rsidR="0052395C" w:rsidRPr="0052395C">
        <w:rPr>
          <w:sz w:val="22"/>
        </w:rPr>
        <w:t>‘</w:t>
      </w:r>
      <w:r w:rsidRPr="0052395C">
        <w:rPr>
          <w:sz w:val="22"/>
        </w:rPr>
        <w:t>base</w:t>
      </w:r>
      <w:r w:rsidR="0052395C" w:rsidRPr="0052395C">
        <w:rPr>
          <w:sz w:val="22"/>
        </w:rPr>
        <w:t xml:space="preserve">’ </w:t>
      </w:r>
      <w:r w:rsidRPr="0052395C">
        <w:rPr>
          <w:sz w:val="22"/>
        </w:rPr>
        <w:t xml:space="preserve">entitlement because </w:t>
      </w:r>
      <w:r w:rsidR="0052395C">
        <w:rPr>
          <w:sz w:val="22"/>
        </w:rPr>
        <w:t xml:space="preserve">each is either designed to </w:t>
      </w:r>
      <w:r w:rsidRPr="0052395C">
        <w:rPr>
          <w:sz w:val="22"/>
        </w:rPr>
        <w:t xml:space="preserve">ensure that small schools have sufficient staffing to operate the school and deliver the curriculum; and/or have the effect of providing, on average, substantially more </w:t>
      </w:r>
      <w:r w:rsidR="00E8520C">
        <w:rPr>
          <w:sz w:val="22"/>
        </w:rPr>
        <w:t>full-time teacher equivalents (</w:t>
      </w:r>
      <w:r w:rsidRPr="0052395C">
        <w:rPr>
          <w:sz w:val="22"/>
        </w:rPr>
        <w:t>FTTEs</w:t>
      </w:r>
      <w:r w:rsidR="00E8520C">
        <w:rPr>
          <w:sz w:val="22"/>
        </w:rPr>
        <w:t>)</w:t>
      </w:r>
      <w:r w:rsidRPr="0052395C">
        <w:rPr>
          <w:sz w:val="22"/>
        </w:rPr>
        <w:t xml:space="preserve"> per student at lower rolls</w:t>
      </w:r>
      <w:r w:rsidR="0052395C">
        <w:rPr>
          <w:sz w:val="22"/>
        </w:rPr>
        <w:t>:</w:t>
      </w:r>
      <w:r w:rsidRPr="0052395C">
        <w:rPr>
          <w:sz w:val="22"/>
        </w:rPr>
        <w:t xml:space="preserve">  </w:t>
      </w:r>
    </w:p>
    <w:p w:rsidR="0052395C" w:rsidRPr="00CE62D3" w:rsidRDefault="0052395C" w:rsidP="0052395C">
      <w:pPr>
        <w:pStyle w:val="MoENumberedList"/>
        <w:ind w:firstLine="0"/>
        <w:jc w:val="both"/>
        <w:rPr>
          <w:rFonts w:cs="Arial"/>
          <w:color w:val="000000" w:themeColor="text1"/>
          <w:sz w:val="22"/>
        </w:rPr>
      </w:pPr>
    </w:p>
    <w:p w:rsidR="00DD48B2" w:rsidRDefault="00DD48B2" w:rsidP="00CE62D3">
      <w:pPr>
        <w:pStyle w:val="MoENumberedList"/>
        <w:numPr>
          <w:ilvl w:val="0"/>
          <w:numId w:val="19"/>
        </w:numPr>
        <w:ind w:left="567" w:hanging="283"/>
        <w:jc w:val="both"/>
        <w:rPr>
          <w:sz w:val="22"/>
        </w:rPr>
      </w:pPr>
      <w:r w:rsidRPr="0052395C">
        <w:rPr>
          <w:sz w:val="22"/>
        </w:rPr>
        <w:t>Base Management/P</w:t>
      </w:r>
      <w:r w:rsidR="00E8520C">
        <w:rPr>
          <w:sz w:val="22"/>
        </w:rPr>
        <w:t>rofessional Leadership Staffing.</w:t>
      </w:r>
    </w:p>
    <w:p w:rsidR="0052395C" w:rsidRPr="0052395C" w:rsidRDefault="0052395C" w:rsidP="0052395C">
      <w:pPr>
        <w:pStyle w:val="MoENumberedList"/>
        <w:ind w:firstLine="0"/>
        <w:jc w:val="both"/>
        <w:rPr>
          <w:sz w:val="22"/>
        </w:rPr>
      </w:pPr>
    </w:p>
    <w:p w:rsidR="00DD48B2" w:rsidRPr="0052395C" w:rsidRDefault="00DD48B2" w:rsidP="00CE62D3">
      <w:pPr>
        <w:pStyle w:val="MoENumberedList"/>
        <w:numPr>
          <w:ilvl w:val="0"/>
          <w:numId w:val="19"/>
        </w:numPr>
        <w:spacing w:after="0"/>
        <w:ind w:left="567" w:hanging="283"/>
        <w:jc w:val="both"/>
        <w:rPr>
          <w:rFonts w:cs="Arial"/>
          <w:color w:val="000000" w:themeColor="text1"/>
        </w:rPr>
      </w:pPr>
      <w:r w:rsidRPr="0052395C">
        <w:rPr>
          <w:sz w:val="22"/>
        </w:rPr>
        <w:t>Maximum Average Class Size (MACS) – applies to primary</w:t>
      </w:r>
      <w:r w:rsidR="0052395C">
        <w:rPr>
          <w:sz w:val="22"/>
        </w:rPr>
        <w:t xml:space="preserve"> and intermediate schools and the year 7 and 8 component of </w:t>
      </w:r>
      <w:r w:rsidRPr="0052395C">
        <w:rPr>
          <w:sz w:val="22"/>
        </w:rPr>
        <w:t>year 7 to 15 s</w:t>
      </w:r>
      <w:r w:rsidR="0052395C">
        <w:rPr>
          <w:sz w:val="22"/>
        </w:rPr>
        <w:t xml:space="preserve">econdary schools and </w:t>
      </w:r>
      <w:r w:rsidRPr="0052395C">
        <w:rPr>
          <w:sz w:val="22"/>
        </w:rPr>
        <w:t xml:space="preserve">of composite schools.  </w:t>
      </w:r>
    </w:p>
    <w:p w:rsidR="0052395C" w:rsidRDefault="0052395C" w:rsidP="0052395C">
      <w:pPr>
        <w:pStyle w:val="ListParagraph"/>
        <w:rPr>
          <w:rFonts w:cs="Arial"/>
          <w:color w:val="000000" w:themeColor="text1"/>
        </w:rPr>
      </w:pPr>
    </w:p>
    <w:p w:rsidR="00DD48B2" w:rsidRPr="0052395C" w:rsidRDefault="00DD48B2" w:rsidP="00CE62D3">
      <w:pPr>
        <w:pStyle w:val="MoENumberedList"/>
        <w:numPr>
          <w:ilvl w:val="0"/>
          <w:numId w:val="19"/>
        </w:numPr>
        <w:spacing w:after="0"/>
        <w:ind w:left="567" w:hanging="283"/>
        <w:jc w:val="both"/>
        <w:rPr>
          <w:rFonts w:cs="Arial"/>
          <w:color w:val="000000" w:themeColor="text1"/>
        </w:rPr>
      </w:pPr>
      <w:r w:rsidRPr="0052395C">
        <w:rPr>
          <w:sz w:val="22"/>
        </w:rPr>
        <w:t xml:space="preserve">Base Curriculum Staffing – applies to </w:t>
      </w:r>
      <w:r w:rsidR="0052395C" w:rsidRPr="0052395C">
        <w:rPr>
          <w:rFonts w:cs="Arial"/>
          <w:color w:val="000000" w:themeColor="text1"/>
          <w:sz w:val="22"/>
        </w:rPr>
        <w:t>years 9 to 13 of secondary and composite schools.</w:t>
      </w:r>
      <w:r w:rsidRPr="0052395C">
        <w:rPr>
          <w:sz w:val="22"/>
        </w:rPr>
        <w:t xml:space="preserve">  </w:t>
      </w:r>
    </w:p>
    <w:p w:rsidR="0052395C" w:rsidRDefault="0052395C" w:rsidP="0052395C">
      <w:pPr>
        <w:pStyle w:val="ListParagraph"/>
        <w:rPr>
          <w:rFonts w:cs="Arial"/>
          <w:color w:val="000000" w:themeColor="text1"/>
        </w:rPr>
      </w:pPr>
    </w:p>
    <w:p w:rsidR="009F327F" w:rsidRDefault="00DD48B2" w:rsidP="00CE62D3">
      <w:pPr>
        <w:pStyle w:val="MoENumberedList"/>
        <w:numPr>
          <w:ilvl w:val="0"/>
          <w:numId w:val="19"/>
        </w:numPr>
        <w:ind w:left="567" w:hanging="283"/>
        <w:jc w:val="both"/>
        <w:rPr>
          <w:sz w:val="22"/>
        </w:rPr>
      </w:pPr>
      <w:r w:rsidRPr="0052395C">
        <w:rPr>
          <w:sz w:val="22"/>
        </w:rPr>
        <w:t>Additional Guidance Staffing – applies to years 9 to 13 of secondary and composite schools.</w:t>
      </w:r>
    </w:p>
    <w:p w:rsidR="00DE1330" w:rsidRDefault="00DE1330" w:rsidP="006728BC">
      <w:pPr>
        <w:pStyle w:val="MoENumberedList"/>
        <w:ind w:left="0" w:firstLine="0"/>
        <w:jc w:val="both"/>
        <w:rPr>
          <w:sz w:val="22"/>
        </w:rPr>
      </w:pPr>
    </w:p>
    <w:p w:rsidR="0052395C" w:rsidRDefault="0052395C" w:rsidP="00CE62D3">
      <w:pPr>
        <w:pStyle w:val="MoENumberedList"/>
        <w:spacing w:after="0"/>
        <w:ind w:left="0" w:firstLine="0"/>
        <w:jc w:val="both"/>
        <w:rPr>
          <w:sz w:val="22"/>
        </w:rPr>
      </w:pPr>
      <w:r>
        <w:rPr>
          <w:sz w:val="22"/>
        </w:rPr>
        <w:t>Separately</w:t>
      </w:r>
      <w:r w:rsidR="003A55AF">
        <w:rPr>
          <w:sz w:val="22"/>
        </w:rPr>
        <w:t>,</w:t>
      </w:r>
      <w:r>
        <w:rPr>
          <w:sz w:val="22"/>
        </w:rPr>
        <w:t xml:space="preserve"> we note that while Variable Management Staffing increases with roll size, it does not increase proportionately, providing relatively more resourcing to smaller schools.</w:t>
      </w:r>
    </w:p>
    <w:p w:rsidR="00E31C8B" w:rsidRDefault="00E31C8B" w:rsidP="00CE62D3">
      <w:pPr>
        <w:pStyle w:val="MoENumberedList"/>
        <w:spacing w:after="0"/>
        <w:ind w:left="0" w:firstLine="0"/>
        <w:jc w:val="both"/>
        <w:rPr>
          <w:sz w:val="22"/>
        </w:rPr>
      </w:pPr>
    </w:p>
    <w:p w:rsidR="006728BC" w:rsidRDefault="00E31C8B" w:rsidP="00064638">
      <w:pPr>
        <w:jc w:val="center"/>
        <w:rPr>
          <w:rFonts w:ascii="Arial" w:hAnsi="Arial" w:cs="Arial"/>
          <w:b/>
          <w:color w:val="000000" w:themeColor="text1"/>
          <w:sz w:val="22"/>
        </w:rPr>
      </w:pPr>
      <w:r>
        <w:rPr>
          <w:rFonts w:ascii="Arial" w:hAnsi="Arial" w:cs="Arial"/>
          <w:b/>
          <w:color w:val="000000" w:themeColor="text1"/>
          <w:sz w:val="22"/>
        </w:rPr>
        <w:t>Table 3</w:t>
      </w:r>
      <w:r w:rsidR="006728BC" w:rsidRPr="009C3C1B">
        <w:rPr>
          <w:rFonts w:ascii="Arial" w:hAnsi="Arial" w:cs="Arial"/>
          <w:b/>
          <w:color w:val="000000" w:themeColor="text1"/>
          <w:sz w:val="22"/>
        </w:rPr>
        <w:t xml:space="preserve">: Estimated quantum of staffing </w:t>
      </w:r>
      <w:r w:rsidR="001E4496" w:rsidRPr="009C3C1B">
        <w:rPr>
          <w:rFonts w:ascii="Arial" w:hAnsi="Arial" w:cs="Arial"/>
          <w:b/>
          <w:color w:val="000000" w:themeColor="text1"/>
          <w:sz w:val="22"/>
        </w:rPr>
        <w:t xml:space="preserve">entitlement </w:t>
      </w:r>
      <w:r w:rsidR="00E8520C" w:rsidRPr="00C6676F">
        <w:rPr>
          <w:rFonts w:ascii="Arial" w:hAnsi="Arial" w:cs="Arial"/>
          <w:b/>
          <w:color w:val="000000" w:themeColor="text1"/>
          <w:sz w:val="22"/>
        </w:rPr>
        <w:t>(2015</w:t>
      </w:r>
      <w:r w:rsidR="006728BC" w:rsidRPr="00C6676F">
        <w:rPr>
          <w:rFonts w:ascii="Arial" w:hAnsi="Arial" w:cs="Arial"/>
          <w:b/>
          <w:color w:val="000000" w:themeColor="text1"/>
          <w:sz w:val="22"/>
        </w:rPr>
        <w:t>)</w:t>
      </w:r>
      <w:r w:rsidR="00327252">
        <w:rPr>
          <w:rStyle w:val="FootnoteReference"/>
          <w:rFonts w:ascii="Arial" w:hAnsi="Arial" w:cs="Arial"/>
          <w:b/>
          <w:color w:val="000000" w:themeColor="text1"/>
          <w:sz w:val="22"/>
        </w:rPr>
        <w:footnoteReference w:id="3"/>
      </w:r>
      <w:r w:rsidR="00327252" w:rsidRPr="00327252">
        <w:rPr>
          <w:rStyle w:val="FootnoteReference"/>
        </w:rPr>
        <w:t xml:space="preserve"> </w:t>
      </w:r>
    </w:p>
    <w:p w:rsidR="00CE62D3" w:rsidRPr="00CE62D3" w:rsidRDefault="00CE62D3" w:rsidP="009F327F">
      <w:pPr>
        <w:jc w:val="both"/>
        <w:rPr>
          <w:rFonts w:ascii="Arial" w:hAnsi="Arial" w:cs="Arial"/>
          <w:color w:val="000000" w:themeColor="text1"/>
          <w:sz w:val="20"/>
          <w:szCs w:val="20"/>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5"/>
        <w:gridCol w:w="3627"/>
      </w:tblGrid>
      <w:tr w:rsidR="00472D21" w:rsidRPr="003A55AF" w:rsidTr="00064638">
        <w:trPr>
          <w:cnfStyle w:val="100000000000"/>
          <w:jc w:val="center"/>
        </w:trPr>
        <w:tc>
          <w:tcPr>
            <w:cnfStyle w:val="001000000000"/>
            <w:tcW w:w="4175" w:type="dxa"/>
          </w:tcPr>
          <w:p w:rsidR="00472D21" w:rsidRPr="003A55AF" w:rsidRDefault="00472D21" w:rsidP="00CE62D3">
            <w:pPr>
              <w:ind w:hanging="113"/>
              <w:rPr>
                <w:rFonts w:ascii="Arial" w:hAnsi="Arial" w:cs="Arial"/>
              </w:rPr>
            </w:pPr>
            <w:r w:rsidRPr="003A55AF">
              <w:rPr>
                <w:rFonts w:ascii="Arial" w:hAnsi="Arial" w:cs="Arial"/>
                <w:bCs/>
                <w:sz w:val="22"/>
                <w:lang w:eastAsia="en-NZ"/>
              </w:rPr>
              <w:t>Staffing Component</w:t>
            </w:r>
            <w:r w:rsidRPr="003A55AF">
              <w:rPr>
                <w:rFonts w:ascii="Arial" w:hAnsi="Arial" w:cs="Arial"/>
              </w:rPr>
              <w:t xml:space="preserve"> </w:t>
            </w:r>
          </w:p>
        </w:tc>
        <w:tc>
          <w:tcPr>
            <w:tcW w:w="3627" w:type="dxa"/>
          </w:tcPr>
          <w:p w:rsidR="00472D21" w:rsidRPr="003A55AF" w:rsidRDefault="00472D21" w:rsidP="001979B1">
            <w:pPr>
              <w:cnfStyle w:val="100000000000"/>
              <w:rPr>
                <w:rFonts w:ascii="Arial" w:hAnsi="Arial" w:cs="Arial"/>
              </w:rPr>
            </w:pPr>
            <w:r w:rsidRPr="003A55AF">
              <w:rPr>
                <w:rFonts w:ascii="Arial" w:hAnsi="Arial" w:cs="Arial"/>
                <w:bCs/>
                <w:sz w:val="22"/>
                <w:lang w:eastAsia="en-NZ"/>
              </w:rPr>
              <w:t>Estimated Number of FTTE</w:t>
            </w:r>
            <w:r w:rsidR="001326D6" w:rsidRPr="003A55AF">
              <w:rPr>
                <w:rFonts w:ascii="Arial" w:hAnsi="Arial" w:cs="Arial"/>
                <w:bCs/>
                <w:sz w:val="22"/>
                <w:lang w:eastAsia="en-NZ"/>
              </w:rPr>
              <w:t>s</w:t>
            </w:r>
          </w:p>
        </w:tc>
      </w:tr>
      <w:tr w:rsidR="00472D21" w:rsidTr="00064638">
        <w:trPr>
          <w:cnfStyle w:val="000000100000"/>
          <w:jc w:val="center"/>
        </w:trPr>
        <w:tc>
          <w:tcPr>
            <w:cnfStyle w:val="001000000000"/>
            <w:tcW w:w="4175" w:type="dxa"/>
          </w:tcPr>
          <w:p w:rsidR="00472D21" w:rsidRPr="004A5773" w:rsidRDefault="00472D21" w:rsidP="001979B1">
            <w:pPr>
              <w:pStyle w:val="ListParagraph"/>
              <w:ind w:left="0"/>
              <w:rPr>
                <w:rFonts w:ascii="Arial" w:hAnsi="Arial" w:cs="Arial"/>
                <w:color w:val="000000" w:themeColor="text1"/>
              </w:rPr>
            </w:pPr>
            <w:r w:rsidRPr="004A5773">
              <w:rPr>
                <w:rFonts w:ascii="Arial" w:hAnsi="Arial" w:cs="Arial"/>
                <w:color w:val="000000" w:themeColor="text1"/>
              </w:rPr>
              <w:t>Base Management/Professional Leadership</w:t>
            </w:r>
          </w:p>
        </w:tc>
        <w:tc>
          <w:tcPr>
            <w:tcW w:w="3627" w:type="dxa"/>
          </w:tcPr>
          <w:p w:rsidR="00472D21" w:rsidRDefault="00472D21" w:rsidP="006728BC">
            <w:pPr>
              <w:pStyle w:val="ListParagraph"/>
              <w:ind w:left="0"/>
              <w:jc w:val="right"/>
              <w:cnfStyle w:val="000000100000"/>
              <w:rPr>
                <w:rFonts w:cs="Arial"/>
                <w:color w:val="000000" w:themeColor="text1"/>
              </w:rPr>
            </w:pPr>
            <w:r>
              <w:rPr>
                <w:rFonts w:cs="Arial"/>
                <w:color w:val="000000" w:themeColor="text1"/>
              </w:rPr>
              <w:t>1,72</w:t>
            </w:r>
            <w:r w:rsidR="00C6676F">
              <w:rPr>
                <w:rFonts w:cs="Arial"/>
                <w:color w:val="000000" w:themeColor="text1"/>
              </w:rPr>
              <w:t>3</w:t>
            </w:r>
          </w:p>
        </w:tc>
      </w:tr>
      <w:tr w:rsidR="00472D21" w:rsidTr="00064638">
        <w:trPr>
          <w:cnfStyle w:val="000000010000"/>
          <w:jc w:val="center"/>
        </w:trPr>
        <w:tc>
          <w:tcPr>
            <w:cnfStyle w:val="001000000000"/>
            <w:tcW w:w="4175" w:type="dxa"/>
          </w:tcPr>
          <w:p w:rsidR="00472D21" w:rsidRPr="004A5773" w:rsidRDefault="00472D21" w:rsidP="001979B1">
            <w:pPr>
              <w:pStyle w:val="ListParagraph"/>
              <w:ind w:left="0"/>
              <w:rPr>
                <w:rFonts w:ascii="Arial" w:hAnsi="Arial" w:cs="Arial"/>
                <w:color w:val="000000" w:themeColor="text1"/>
              </w:rPr>
            </w:pPr>
            <w:r w:rsidRPr="004A5773">
              <w:rPr>
                <w:rFonts w:ascii="Arial" w:hAnsi="Arial" w:cs="Arial"/>
                <w:color w:val="000000" w:themeColor="text1"/>
              </w:rPr>
              <w:t xml:space="preserve">Maximum Average Class Size Policy </w:t>
            </w:r>
          </w:p>
        </w:tc>
        <w:tc>
          <w:tcPr>
            <w:tcW w:w="3627" w:type="dxa"/>
          </w:tcPr>
          <w:p w:rsidR="00472D21" w:rsidRDefault="006728BC" w:rsidP="001979B1">
            <w:pPr>
              <w:pStyle w:val="ListParagraph"/>
              <w:ind w:left="0"/>
              <w:jc w:val="right"/>
              <w:cnfStyle w:val="000000010000"/>
              <w:rPr>
                <w:rFonts w:cs="Arial"/>
                <w:color w:val="000000" w:themeColor="text1"/>
              </w:rPr>
            </w:pPr>
            <w:r>
              <w:rPr>
                <w:rFonts w:cs="Arial"/>
                <w:color w:val="000000" w:themeColor="text1"/>
              </w:rPr>
              <w:t>457</w:t>
            </w:r>
          </w:p>
        </w:tc>
      </w:tr>
      <w:tr w:rsidR="00472D21" w:rsidTr="00064638">
        <w:trPr>
          <w:cnfStyle w:val="000000100000"/>
          <w:jc w:val="center"/>
        </w:trPr>
        <w:tc>
          <w:tcPr>
            <w:cnfStyle w:val="001000000000"/>
            <w:tcW w:w="4175" w:type="dxa"/>
          </w:tcPr>
          <w:p w:rsidR="00472D21" w:rsidRPr="004A5773" w:rsidRDefault="00472D21" w:rsidP="001979B1">
            <w:pPr>
              <w:pStyle w:val="ListParagraph"/>
              <w:ind w:left="0"/>
              <w:rPr>
                <w:rFonts w:ascii="Arial" w:hAnsi="Arial" w:cs="Arial"/>
                <w:color w:val="000000" w:themeColor="text1"/>
              </w:rPr>
            </w:pPr>
            <w:r w:rsidRPr="004A5773">
              <w:rPr>
                <w:rFonts w:ascii="Arial" w:hAnsi="Arial" w:cs="Arial"/>
                <w:color w:val="000000" w:themeColor="text1"/>
              </w:rPr>
              <w:t>Base Curriculum Staffing</w:t>
            </w:r>
          </w:p>
        </w:tc>
        <w:tc>
          <w:tcPr>
            <w:tcW w:w="3627" w:type="dxa"/>
          </w:tcPr>
          <w:p w:rsidR="00472D21" w:rsidRDefault="00472D21" w:rsidP="006728BC">
            <w:pPr>
              <w:pStyle w:val="ListParagraph"/>
              <w:ind w:left="0"/>
              <w:jc w:val="right"/>
              <w:cnfStyle w:val="000000100000"/>
              <w:rPr>
                <w:rFonts w:cs="Arial"/>
                <w:color w:val="000000" w:themeColor="text1"/>
              </w:rPr>
            </w:pPr>
            <w:r>
              <w:rPr>
                <w:rFonts w:cs="Arial"/>
                <w:color w:val="000000" w:themeColor="text1"/>
              </w:rPr>
              <w:t>2,3</w:t>
            </w:r>
            <w:r w:rsidR="00C6676F">
              <w:rPr>
                <w:rFonts w:cs="Arial"/>
                <w:color w:val="000000" w:themeColor="text1"/>
              </w:rPr>
              <w:t>06</w:t>
            </w:r>
          </w:p>
        </w:tc>
      </w:tr>
      <w:tr w:rsidR="00472D21" w:rsidTr="00064638">
        <w:trPr>
          <w:cnfStyle w:val="000000010000"/>
          <w:jc w:val="center"/>
        </w:trPr>
        <w:tc>
          <w:tcPr>
            <w:cnfStyle w:val="001000000000"/>
            <w:tcW w:w="4175" w:type="dxa"/>
          </w:tcPr>
          <w:p w:rsidR="00472D21" w:rsidRPr="004A5773" w:rsidRDefault="00472D21" w:rsidP="001979B1">
            <w:pPr>
              <w:pStyle w:val="ListParagraph"/>
              <w:ind w:left="0"/>
              <w:rPr>
                <w:rFonts w:ascii="Arial" w:hAnsi="Arial" w:cs="Arial"/>
                <w:color w:val="000000" w:themeColor="text1"/>
              </w:rPr>
            </w:pPr>
            <w:r w:rsidRPr="004A5773">
              <w:rPr>
                <w:rFonts w:ascii="Arial" w:hAnsi="Arial" w:cs="Arial"/>
                <w:color w:val="000000" w:themeColor="text1"/>
              </w:rPr>
              <w:t xml:space="preserve">Additional Guidance Staffing </w:t>
            </w:r>
          </w:p>
        </w:tc>
        <w:tc>
          <w:tcPr>
            <w:tcW w:w="3627" w:type="dxa"/>
          </w:tcPr>
          <w:p w:rsidR="00472D21" w:rsidRDefault="00C6676F" w:rsidP="006728BC">
            <w:pPr>
              <w:pStyle w:val="ListParagraph"/>
              <w:ind w:left="0"/>
              <w:jc w:val="right"/>
              <w:cnfStyle w:val="000000010000"/>
              <w:rPr>
                <w:rFonts w:cs="Arial"/>
                <w:color w:val="000000" w:themeColor="text1"/>
              </w:rPr>
            </w:pPr>
            <w:r>
              <w:rPr>
                <w:rFonts w:cs="Arial"/>
                <w:color w:val="000000" w:themeColor="text1"/>
              </w:rPr>
              <w:t>835</w:t>
            </w:r>
          </w:p>
        </w:tc>
      </w:tr>
    </w:tbl>
    <w:p w:rsidR="00472D21" w:rsidRPr="00CE62D3" w:rsidRDefault="00472D21" w:rsidP="00472D21">
      <w:pPr>
        <w:pStyle w:val="MoENumberedList"/>
        <w:ind w:firstLine="0"/>
        <w:rPr>
          <w:rFonts w:cs="Arial"/>
          <w:sz w:val="22"/>
        </w:rPr>
      </w:pPr>
    </w:p>
    <w:p w:rsidR="006728BC" w:rsidRDefault="006728BC" w:rsidP="00CE62D3">
      <w:pPr>
        <w:pStyle w:val="MoENumberedList"/>
        <w:spacing w:after="0"/>
        <w:ind w:left="0" w:firstLine="0"/>
        <w:rPr>
          <w:rFonts w:cs="Arial"/>
          <w:sz w:val="22"/>
        </w:rPr>
      </w:pPr>
      <w:r>
        <w:rPr>
          <w:rFonts w:cs="Arial"/>
          <w:sz w:val="22"/>
        </w:rPr>
        <w:t xml:space="preserve">These components of staffing entitlement </w:t>
      </w:r>
      <w:r w:rsidR="00327252">
        <w:rPr>
          <w:rFonts w:cs="Arial"/>
          <w:sz w:val="22"/>
        </w:rPr>
        <w:t xml:space="preserve">are estimated to </w:t>
      </w:r>
      <w:r>
        <w:rPr>
          <w:rFonts w:cs="Arial"/>
          <w:sz w:val="22"/>
        </w:rPr>
        <w:t xml:space="preserve">account for some </w:t>
      </w:r>
      <w:r w:rsidR="00C6676F" w:rsidRPr="00C6676F">
        <w:rPr>
          <w:rFonts w:cs="Arial"/>
          <w:sz w:val="22"/>
        </w:rPr>
        <w:t>13</w:t>
      </w:r>
      <w:r w:rsidRPr="00C6676F">
        <w:rPr>
          <w:rFonts w:cs="Arial"/>
          <w:sz w:val="22"/>
        </w:rPr>
        <w:t>%</w:t>
      </w:r>
      <w:r>
        <w:rPr>
          <w:rFonts w:cs="Arial"/>
          <w:sz w:val="22"/>
        </w:rPr>
        <w:t xml:space="preserve"> of total staffing entitlement provided to schools.</w:t>
      </w:r>
    </w:p>
    <w:p w:rsidR="006728BC" w:rsidRPr="00F203D6" w:rsidRDefault="006728BC" w:rsidP="00CE62D3">
      <w:pPr>
        <w:pStyle w:val="MoENumberedList"/>
        <w:spacing w:after="0"/>
        <w:ind w:left="0" w:firstLine="0"/>
        <w:rPr>
          <w:rFonts w:cs="Arial"/>
          <w:sz w:val="22"/>
        </w:rPr>
      </w:pPr>
    </w:p>
    <w:p w:rsidR="00472D21" w:rsidRPr="0018635E" w:rsidRDefault="00291CBF" w:rsidP="00CE62D3">
      <w:pPr>
        <w:pStyle w:val="MoENumberedList"/>
        <w:spacing w:after="0"/>
        <w:ind w:left="0" w:firstLine="0"/>
        <w:rPr>
          <w:rFonts w:cs="Arial"/>
          <w:b/>
          <w:i/>
          <w:color w:val="4F81BD" w:themeColor="accent1"/>
          <w:sz w:val="22"/>
        </w:rPr>
      </w:pPr>
      <w:r>
        <w:rPr>
          <w:rFonts w:cs="Arial"/>
          <w:b/>
          <w:i/>
          <w:color w:val="4F81BD" w:themeColor="accent1"/>
          <w:sz w:val="22"/>
        </w:rPr>
        <w:t>Base professional l</w:t>
      </w:r>
      <w:r w:rsidR="00472D21" w:rsidRPr="0018635E">
        <w:rPr>
          <w:rFonts w:cs="Arial"/>
          <w:b/>
          <w:i/>
          <w:color w:val="4F81BD" w:themeColor="accent1"/>
          <w:sz w:val="22"/>
        </w:rPr>
        <w:t>eadership/</w:t>
      </w:r>
      <w:r>
        <w:rPr>
          <w:rFonts w:cs="Arial"/>
          <w:b/>
          <w:i/>
          <w:color w:val="4F81BD" w:themeColor="accent1"/>
          <w:sz w:val="22"/>
        </w:rPr>
        <w:t>m</w:t>
      </w:r>
      <w:r w:rsidR="00472D21" w:rsidRPr="0018635E">
        <w:rPr>
          <w:rFonts w:cs="Arial"/>
          <w:b/>
          <w:i/>
          <w:color w:val="4F81BD" w:themeColor="accent1"/>
          <w:sz w:val="22"/>
        </w:rPr>
        <w:t>anagement</w:t>
      </w:r>
    </w:p>
    <w:p w:rsidR="00472D21" w:rsidRPr="00F203D6" w:rsidRDefault="00472D21" w:rsidP="00CE62D3">
      <w:pPr>
        <w:pStyle w:val="MoENumberedList"/>
        <w:spacing w:after="0"/>
        <w:ind w:firstLine="0"/>
        <w:rPr>
          <w:rFonts w:cs="Arial"/>
          <w:sz w:val="22"/>
        </w:rPr>
      </w:pPr>
    </w:p>
    <w:p w:rsidR="006A2951" w:rsidRDefault="00472D21" w:rsidP="00CE62D3">
      <w:pPr>
        <w:pStyle w:val="MoENumberedList"/>
        <w:spacing w:after="0"/>
        <w:ind w:left="0" w:firstLine="0"/>
        <w:jc w:val="both"/>
        <w:rPr>
          <w:sz w:val="22"/>
        </w:rPr>
      </w:pPr>
      <w:r>
        <w:rPr>
          <w:sz w:val="22"/>
        </w:rPr>
        <w:t>Primary and intermediate schools receive Base Professional Leadership Staffing while secondary and composite schools receive Base Management Staffing.</w:t>
      </w:r>
      <w:r w:rsidR="006A2951">
        <w:rPr>
          <w:sz w:val="22"/>
        </w:rPr>
        <w:t xml:space="preserve"> </w:t>
      </w:r>
      <w:r w:rsidR="006728BC">
        <w:rPr>
          <w:sz w:val="22"/>
        </w:rPr>
        <w:t>Both provide a</w:t>
      </w:r>
      <w:r w:rsidRPr="00472D21">
        <w:rPr>
          <w:sz w:val="22"/>
        </w:rPr>
        <w:t xml:space="preserve"> maximum of 1 FTTE of staffing </w:t>
      </w:r>
      <w:r w:rsidR="006728BC">
        <w:rPr>
          <w:sz w:val="22"/>
        </w:rPr>
        <w:t>entitlement which is reached at a roll of 250 students</w:t>
      </w:r>
      <w:r w:rsidR="006A2951">
        <w:rPr>
          <w:sz w:val="22"/>
        </w:rPr>
        <w:t>.</w:t>
      </w:r>
    </w:p>
    <w:p w:rsidR="00472D21" w:rsidRDefault="00472D21" w:rsidP="00CE62D3">
      <w:pPr>
        <w:pStyle w:val="MoENumberedList"/>
        <w:spacing w:after="0"/>
        <w:ind w:left="0" w:firstLine="0"/>
        <w:jc w:val="both"/>
        <w:rPr>
          <w:sz w:val="22"/>
        </w:rPr>
      </w:pPr>
    </w:p>
    <w:p w:rsidR="00472D21" w:rsidRDefault="006A2951" w:rsidP="00CE62D3">
      <w:pPr>
        <w:pStyle w:val="MoENumberedList"/>
        <w:spacing w:after="0"/>
        <w:ind w:left="0" w:firstLine="0"/>
        <w:jc w:val="both"/>
        <w:rPr>
          <w:sz w:val="22"/>
        </w:rPr>
      </w:pPr>
      <w:r>
        <w:rPr>
          <w:sz w:val="22"/>
        </w:rPr>
        <w:t>T</w:t>
      </w:r>
      <w:r w:rsidR="00472D21">
        <w:rPr>
          <w:sz w:val="22"/>
        </w:rPr>
        <w:t>he management of schools has become more complex</w:t>
      </w:r>
      <w:r>
        <w:rPr>
          <w:sz w:val="22"/>
        </w:rPr>
        <w:t xml:space="preserve"> over time, including as a result of </w:t>
      </w:r>
      <w:r w:rsidR="00472D21">
        <w:rPr>
          <w:sz w:val="22"/>
        </w:rPr>
        <w:t>increasing workplace health and safety compliance requirements and changes in technology. Property management also takes a considerable amount of management time</w:t>
      </w:r>
      <w:r w:rsidR="003A55AF">
        <w:rPr>
          <w:sz w:val="22"/>
        </w:rPr>
        <w:t>,</w:t>
      </w:r>
      <w:r w:rsidR="00472D21">
        <w:rPr>
          <w:sz w:val="22"/>
        </w:rPr>
        <w:t xml:space="preserve"> with the most recent estimates suggesting an average of 15 hours per week being spent in this area.</w:t>
      </w:r>
    </w:p>
    <w:p w:rsidR="00472D21" w:rsidRDefault="00472D21" w:rsidP="00CE62D3">
      <w:pPr>
        <w:pStyle w:val="MoENumberedList"/>
        <w:spacing w:after="0"/>
        <w:ind w:left="0" w:firstLine="0"/>
        <w:jc w:val="both"/>
        <w:rPr>
          <w:sz w:val="22"/>
        </w:rPr>
      </w:pPr>
    </w:p>
    <w:p w:rsidR="006A2951" w:rsidRDefault="006A2951" w:rsidP="00CE62D3">
      <w:pPr>
        <w:pStyle w:val="MoENumberedList"/>
        <w:spacing w:after="0"/>
        <w:ind w:left="0" w:firstLine="0"/>
        <w:jc w:val="both"/>
        <w:rPr>
          <w:sz w:val="22"/>
        </w:rPr>
      </w:pPr>
      <w:r>
        <w:rPr>
          <w:sz w:val="22"/>
        </w:rPr>
        <w:t>S</w:t>
      </w:r>
      <w:r w:rsidR="00472D21">
        <w:rPr>
          <w:sz w:val="22"/>
        </w:rPr>
        <w:t xml:space="preserve">mall schools </w:t>
      </w:r>
      <w:r>
        <w:rPr>
          <w:sz w:val="22"/>
        </w:rPr>
        <w:t xml:space="preserve">may struggle to fulfil their </w:t>
      </w:r>
      <w:r w:rsidR="00E8520C">
        <w:rPr>
          <w:sz w:val="22"/>
        </w:rPr>
        <w:t>management obligations with</w:t>
      </w:r>
      <w:r w:rsidR="00472D21">
        <w:rPr>
          <w:sz w:val="22"/>
        </w:rPr>
        <w:t xml:space="preserve"> the</w:t>
      </w:r>
      <w:r>
        <w:rPr>
          <w:sz w:val="22"/>
        </w:rPr>
        <w:t xml:space="preserve"> entitlement provided through the combination of the Professional Leadership/Base Management and Variable Management component</w:t>
      </w:r>
      <w:r w:rsidR="004C0213">
        <w:rPr>
          <w:sz w:val="22"/>
        </w:rPr>
        <w:t>s</w:t>
      </w:r>
      <w:r>
        <w:rPr>
          <w:sz w:val="22"/>
        </w:rPr>
        <w:t>.</w:t>
      </w:r>
    </w:p>
    <w:p w:rsidR="00CA2612" w:rsidRDefault="00CA2612">
      <w:pPr>
        <w:rPr>
          <w:rFonts w:ascii="Arial" w:eastAsiaTheme="minorHAnsi" w:hAnsi="Arial" w:cstheme="minorBidi"/>
          <w:sz w:val="22"/>
          <w:szCs w:val="22"/>
          <w:lang w:val="en-NZ"/>
        </w:rPr>
      </w:pPr>
      <w:r>
        <w:rPr>
          <w:sz w:val="22"/>
        </w:rPr>
        <w:br w:type="page"/>
      </w:r>
    </w:p>
    <w:p w:rsidR="009F327F" w:rsidRPr="0018635E" w:rsidRDefault="009F327F" w:rsidP="00CE62D3">
      <w:pPr>
        <w:pStyle w:val="MoENumberedList"/>
        <w:spacing w:after="0"/>
        <w:ind w:left="0" w:firstLine="0"/>
        <w:rPr>
          <w:rFonts w:cs="Arial"/>
          <w:b/>
          <w:i/>
          <w:color w:val="4F81BD" w:themeColor="accent1"/>
          <w:sz w:val="22"/>
        </w:rPr>
      </w:pPr>
      <w:r w:rsidRPr="0018635E">
        <w:rPr>
          <w:rFonts w:cs="Arial"/>
          <w:b/>
          <w:i/>
          <w:color w:val="4F81BD" w:themeColor="accent1"/>
          <w:sz w:val="22"/>
        </w:rPr>
        <w:t xml:space="preserve">Primary </w:t>
      </w:r>
      <w:r w:rsidR="00E63411">
        <w:rPr>
          <w:rFonts w:cs="Arial"/>
          <w:b/>
          <w:i/>
          <w:color w:val="4F81BD" w:themeColor="accent1"/>
          <w:sz w:val="22"/>
        </w:rPr>
        <w:t>s</w:t>
      </w:r>
      <w:r w:rsidRPr="0018635E">
        <w:rPr>
          <w:rFonts w:cs="Arial"/>
          <w:b/>
          <w:i/>
          <w:color w:val="4F81BD" w:themeColor="accent1"/>
          <w:sz w:val="22"/>
        </w:rPr>
        <w:t>chools</w:t>
      </w:r>
      <w:r w:rsidR="00811BAF" w:rsidRPr="0018635E">
        <w:rPr>
          <w:rFonts w:cs="Arial"/>
          <w:b/>
          <w:i/>
          <w:color w:val="4F81BD" w:themeColor="accent1"/>
          <w:sz w:val="22"/>
        </w:rPr>
        <w:t xml:space="preserve"> - Max</w:t>
      </w:r>
      <w:r w:rsidR="00F203D6" w:rsidRPr="0018635E">
        <w:rPr>
          <w:rFonts w:cs="Arial"/>
          <w:b/>
          <w:i/>
          <w:color w:val="4F81BD" w:themeColor="accent1"/>
          <w:sz w:val="22"/>
        </w:rPr>
        <w:t xml:space="preserve">imum Average Class Size </w:t>
      </w:r>
      <w:r w:rsidR="00E63411">
        <w:rPr>
          <w:rFonts w:cs="Arial"/>
          <w:b/>
          <w:i/>
          <w:color w:val="4F81BD" w:themeColor="accent1"/>
          <w:sz w:val="22"/>
        </w:rPr>
        <w:t>p</w:t>
      </w:r>
      <w:r w:rsidR="00F203D6" w:rsidRPr="0018635E">
        <w:rPr>
          <w:rFonts w:cs="Arial"/>
          <w:b/>
          <w:i/>
          <w:color w:val="4F81BD" w:themeColor="accent1"/>
          <w:sz w:val="22"/>
        </w:rPr>
        <w:t xml:space="preserve">olicy </w:t>
      </w:r>
    </w:p>
    <w:p w:rsidR="009F327F" w:rsidRPr="00F203D6" w:rsidRDefault="009F327F" w:rsidP="00CE62D3">
      <w:pPr>
        <w:pStyle w:val="MoENumberedList"/>
        <w:spacing w:after="0"/>
        <w:jc w:val="both"/>
        <w:rPr>
          <w:rFonts w:cs="Arial"/>
          <w:sz w:val="22"/>
        </w:rPr>
      </w:pPr>
    </w:p>
    <w:p w:rsidR="00D1462A" w:rsidRDefault="009F327F" w:rsidP="00CE62D3">
      <w:pPr>
        <w:pStyle w:val="MoENumberedList"/>
        <w:spacing w:after="0"/>
        <w:ind w:left="0" w:firstLine="0"/>
        <w:jc w:val="both"/>
        <w:rPr>
          <w:sz w:val="22"/>
        </w:rPr>
      </w:pPr>
      <w:r>
        <w:rPr>
          <w:sz w:val="22"/>
        </w:rPr>
        <w:t>Primary schools receive additional base staffing entitlement through the Maximum Average Class Size (MACS) policy</w:t>
      </w:r>
      <w:r w:rsidR="00327252">
        <w:rPr>
          <w:sz w:val="22"/>
        </w:rPr>
        <w:t>. Modelling indicates that this account</w:t>
      </w:r>
      <w:r w:rsidR="004C0213">
        <w:rPr>
          <w:sz w:val="22"/>
        </w:rPr>
        <w:t>s</w:t>
      </w:r>
      <w:r w:rsidR="00327252">
        <w:rPr>
          <w:sz w:val="22"/>
        </w:rPr>
        <w:t xml:space="preserve"> for some </w:t>
      </w:r>
      <w:r w:rsidR="0033617F">
        <w:rPr>
          <w:sz w:val="22"/>
        </w:rPr>
        <w:t>363</w:t>
      </w:r>
      <w:r w:rsidR="00D1462A">
        <w:rPr>
          <w:sz w:val="22"/>
        </w:rPr>
        <w:t xml:space="preserve"> FTTEs</w:t>
      </w:r>
      <w:r w:rsidR="00E63411">
        <w:rPr>
          <w:sz w:val="22"/>
        </w:rPr>
        <w:t xml:space="preserve"> across all primary schools</w:t>
      </w:r>
      <w:r w:rsidR="00D1462A">
        <w:rPr>
          <w:sz w:val="22"/>
        </w:rPr>
        <w:t>.</w:t>
      </w:r>
    </w:p>
    <w:p w:rsidR="009F327F" w:rsidRDefault="009F327F" w:rsidP="00CE62D3">
      <w:pPr>
        <w:pStyle w:val="MoENumberedList"/>
        <w:spacing w:after="0"/>
        <w:ind w:firstLine="0"/>
        <w:jc w:val="both"/>
        <w:rPr>
          <w:sz w:val="22"/>
        </w:rPr>
      </w:pPr>
    </w:p>
    <w:p w:rsidR="009F327F" w:rsidRPr="00C64BE6" w:rsidRDefault="009F327F" w:rsidP="00CE62D3">
      <w:pPr>
        <w:pStyle w:val="MoENumberedList"/>
        <w:spacing w:after="0"/>
        <w:ind w:left="0" w:firstLine="0"/>
        <w:jc w:val="both"/>
        <w:rPr>
          <w:sz w:val="22"/>
        </w:rPr>
      </w:pPr>
      <w:r w:rsidRPr="00C64BE6">
        <w:rPr>
          <w:sz w:val="22"/>
        </w:rPr>
        <w:t xml:space="preserve">The MACS policy is a ‘safety net’ which applies when staffing entitlement generated by </w:t>
      </w:r>
      <w:r w:rsidR="00E63411">
        <w:rPr>
          <w:sz w:val="22"/>
        </w:rPr>
        <w:t>c</w:t>
      </w:r>
      <w:r w:rsidRPr="00C64BE6">
        <w:rPr>
          <w:sz w:val="22"/>
        </w:rPr>
        <w:t xml:space="preserve">urriculum </w:t>
      </w:r>
      <w:r w:rsidR="00E63411">
        <w:rPr>
          <w:sz w:val="22"/>
        </w:rPr>
        <w:t>s</w:t>
      </w:r>
      <w:r w:rsidRPr="00C64BE6">
        <w:rPr>
          <w:sz w:val="22"/>
        </w:rPr>
        <w:t xml:space="preserve">taffing </w:t>
      </w:r>
      <w:r w:rsidR="00E63411">
        <w:rPr>
          <w:sz w:val="22"/>
        </w:rPr>
        <w:t>r</w:t>
      </w:r>
      <w:r w:rsidRPr="00C64BE6">
        <w:rPr>
          <w:sz w:val="22"/>
        </w:rPr>
        <w:t xml:space="preserve">atios is insufficient to provide 1 FTTE for every 25 students. </w:t>
      </w:r>
      <w:r w:rsidR="00D1462A">
        <w:rPr>
          <w:sz w:val="22"/>
        </w:rPr>
        <w:t xml:space="preserve">It only applies </w:t>
      </w:r>
      <w:r w:rsidRPr="00C64BE6">
        <w:rPr>
          <w:sz w:val="22"/>
        </w:rPr>
        <w:t>when a school has a roll of less than 176 students</w:t>
      </w:r>
      <w:r w:rsidR="00D1462A">
        <w:rPr>
          <w:sz w:val="22"/>
        </w:rPr>
        <w:t xml:space="preserve">. The policy </w:t>
      </w:r>
      <w:r w:rsidRPr="00C64BE6">
        <w:rPr>
          <w:sz w:val="22"/>
        </w:rPr>
        <w:t xml:space="preserve">means that a primary school of 176 students is guaranteed 7 FTTEs. </w:t>
      </w:r>
    </w:p>
    <w:p w:rsidR="009F327F" w:rsidRDefault="009F327F" w:rsidP="00CE62D3">
      <w:pPr>
        <w:pStyle w:val="MoENumberedList"/>
        <w:spacing w:after="0"/>
        <w:ind w:firstLine="0"/>
        <w:jc w:val="both"/>
        <w:rPr>
          <w:sz w:val="22"/>
        </w:rPr>
      </w:pPr>
    </w:p>
    <w:p w:rsidR="009F327F" w:rsidRDefault="009F327F" w:rsidP="00F203D6">
      <w:pPr>
        <w:pStyle w:val="MoENumberedList"/>
        <w:spacing w:after="0"/>
        <w:ind w:left="0" w:firstLine="0"/>
        <w:jc w:val="both"/>
        <w:rPr>
          <w:rFonts w:cs="Arial"/>
          <w:sz w:val="22"/>
        </w:rPr>
      </w:pPr>
      <w:r w:rsidRPr="00D1462A">
        <w:rPr>
          <w:sz w:val="22"/>
        </w:rPr>
        <w:t>A criticism of the MACS policy is that a</w:t>
      </w:r>
      <w:r w:rsidR="00DE1330">
        <w:rPr>
          <w:sz w:val="22"/>
        </w:rPr>
        <w:t>t</w:t>
      </w:r>
      <w:r w:rsidRPr="00D1462A">
        <w:rPr>
          <w:sz w:val="22"/>
        </w:rPr>
        <w:t xml:space="preserve"> particular roll levels, schools receive a whole FTTE with the addition of just one extra student. Occasionally, </w:t>
      </w:r>
      <w:r w:rsidR="00E63411">
        <w:rPr>
          <w:sz w:val="22"/>
        </w:rPr>
        <w:t xml:space="preserve">schools have offered incentives to attract students when their roll is close to a resourcing threshold.  </w:t>
      </w:r>
      <w:r w:rsidRPr="00D1462A">
        <w:rPr>
          <w:sz w:val="22"/>
        </w:rPr>
        <w:t>However, there is little evidence that a significant portion of the primary school network engage in this practice. Other than at rolls of</w:t>
      </w:r>
      <w:r>
        <w:rPr>
          <w:rFonts w:cs="Arial"/>
          <w:sz w:val="22"/>
        </w:rPr>
        <w:t xml:space="preserve"> around 25 students (the step up from </w:t>
      </w:r>
      <w:r w:rsidRPr="007272D6">
        <w:rPr>
          <w:rFonts w:cs="Arial"/>
          <w:sz w:val="22"/>
        </w:rPr>
        <w:t>1</w:t>
      </w:r>
      <w:r w:rsidR="00E63411">
        <w:rPr>
          <w:rFonts w:cs="Arial"/>
          <w:sz w:val="22"/>
        </w:rPr>
        <w:t xml:space="preserve"> to </w:t>
      </w:r>
      <w:r w:rsidRPr="007272D6">
        <w:rPr>
          <w:rFonts w:cs="Arial"/>
          <w:sz w:val="22"/>
        </w:rPr>
        <w:t>2 FTTEs</w:t>
      </w:r>
      <w:r>
        <w:rPr>
          <w:rFonts w:cs="Arial"/>
          <w:sz w:val="22"/>
        </w:rPr>
        <w:t>)</w:t>
      </w:r>
      <w:r w:rsidRPr="007272D6">
        <w:rPr>
          <w:rFonts w:cs="Arial"/>
          <w:sz w:val="22"/>
        </w:rPr>
        <w:t xml:space="preserve">, data shows a reasonably smooth distribution of schools around MACS tipping points. </w:t>
      </w:r>
    </w:p>
    <w:p w:rsidR="009F327F" w:rsidRDefault="009F327F" w:rsidP="00F203D6">
      <w:pPr>
        <w:pStyle w:val="MoENumberedList"/>
        <w:spacing w:after="0"/>
        <w:ind w:firstLine="0"/>
        <w:jc w:val="both"/>
        <w:rPr>
          <w:rFonts w:cs="Arial"/>
          <w:sz w:val="22"/>
        </w:rPr>
      </w:pPr>
    </w:p>
    <w:p w:rsidR="009F327F" w:rsidRDefault="009F327F" w:rsidP="00F203D6">
      <w:pPr>
        <w:pStyle w:val="MoENumberedList"/>
        <w:spacing w:after="0"/>
        <w:ind w:left="0" w:firstLine="0"/>
        <w:jc w:val="both"/>
        <w:rPr>
          <w:sz w:val="22"/>
        </w:rPr>
      </w:pPr>
      <w:r w:rsidRPr="00D1462A">
        <w:rPr>
          <w:sz w:val="22"/>
        </w:rPr>
        <w:t>Notwithstanding the ‘cliff’ feature of the MACS policy</w:t>
      </w:r>
      <w:r w:rsidR="00D40783">
        <w:rPr>
          <w:sz w:val="22"/>
        </w:rPr>
        <w:t>,</w:t>
      </w:r>
      <w:r w:rsidRPr="00D1462A">
        <w:rPr>
          <w:sz w:val="22"/>
        </w:rPr>
        <w:t xml:space="preserve"> it would appear to be an efficient approach to staffing small </w:t>
      </w:r>
      <w:r w:rsidR="00D1462A">
        <w:rPr>
          <w:sz w:val="22"/>
        </w:rPr>
        <w:t xml:space="preserve">primary </w:t>
      </w:r>
      <w:r w:rsidRPr="00D1462A">
        <w:rPr>
          <w:sz w:val="22"/>
        </w:rPr>
        <w:t>schools</w:t>
      </w:r>
      <w:r w:rsidR="00D1462A">
        <w:rPr>
          <w:sz w:val="22"/>
        </w:rPr>
        <w:t xml:space="preserve">. An alternative policy </w:t>
      </w:r>
      <w:r w:rsidRPr="00D1462A">
        <w:rPr>
          <w:sz w:val="22"/>
        </w:rPr>
        <w:t>would likely involve either higher levels of staffing entitlement or mean that some students would be taught</w:t>
      </w:r>
      <w:r w:rsidR="00D1462A">
        <w:rPr>
          <w:sz w:val="22"/>
        </w:rPr>
        <w:t xml:space="preserve"> for at least some of the time</w:t>
      </w:r>
      <w:r w:rsidRPr="00D1462A">
        <w:rPr>
          <w:sz w:val="22"/>
        </w:rPr>
        <w:t xml:space="preserve"> in significantly larger classes than at present.</w:t>
      </w:r>
    </w:p>
    <w:p w:rsidR="00D1462A" w:rsidRDefault="00D1462A" w:rsidP="00F203D6">
      <w:pPr>
        <w:pStyle w:val="MoENumberedList"/>
        <w:spacing w:after="0"/>
        <w:ind w:left="0" w:firstLine="0"/>
        <w:jc w:val="both"/>
        <w:rPr>
          <w:rFonts w:cs="Arial"/>
          <w:sz w:val="22"/>
        </w:rPr>
      </w:pPr>
    </w:p>
    <w:p w:rsidR="00D1462A" w:rsidRDefault="00D1462A" w:rsidP="00F203D6">
      <w:pPr>
        <w:pStyle w:val="MoENumberedList"/>
        <w:spacing w:after="0"/>
        <w:ind w:left="0" w:firstLine="0"/>
        <w:jc w:val="both"/>
        <w:rPr>
          <w:rFonts w:cs="Arial"/>
          <w:sz w:val="22"/>
        </w:rPr>
      </w:pPr>
      <w:r>
        <w:rPr>
          <w:rFonts w:cs="Arial"/>
          <w:sz w:val="22"/>
        </w:rPr>
        <w:t>A MACS of 25 is not unreasonable given the underlying curriculum staffing ratios over Years 1 to 8</w:t>
      </w:r>
      <w:r w:rsidR="00FD0753">
        <w:rPr>
          <w:rFonts w:cs="Arial"/>
          <w:sz w:val="22"/>
        </w:rPr>
        <w:t xml:space="preserve"> and the year span a teacher may be required to teach across, especially in</w:t>
      </w:r>
      <w:r>
        <w:rPr>
          <w:rFonts w:cs="Arial"/>
          <w:sz w:val="22"/>
        </w:rPr>
        <w:t xml:space="preserve"> particularly small schools </w:t>
      </w:r>
      <w:r w:rsidRPr="007272D6">
        <w:rPr>
          <w:rFonts w:cs="Arial"/>
          <w:sz w:val="22"/>
        </w:rPr>
        <w:t xml:space="preserve">(e.g. rolls of </w:t>
      </w:r>
      <w:r>
        <w:rPr>
          <w:rFonts w:cs="Arial"/>
          <w:sz w:val="22"/>
        </w:rPr>
        <w:t>50 or less)</w:t>
      </w:r>
      <w:r w:rsidR="00FD0753">
        <w:rPr>
          <w:rFonts w:cs="Arial"/>
          <w:sz w:val="22"/>
        </w:rPr>
        <w:t xml:space="preserve">. </w:t>
      </w:r>
      <w:r>
        <w:rPr>
          <w:rFonts w:cs="Arial"/>
          <w:sz w:val="22"/>
        </w:rPr>
        <w:t xml:space="preserve">   </w:t>
      </w:r>
    </w:p>
    <w:p w:rsidR="00D1462A" w:rsidRPr="00F203D6" w:rsidRDefault="00D1462A" w:rsidP="00F203D6">
      <w:pPr>
        <w:pStyle w:val="MoENumberedList"/>
        <w:spacing w:after="0"/>
        <w:ind w:left="0" w:firstLine="0"/>
        <w:jc w:val="both"/>
        <w:rPr>
          <w:sz w:val="22"/>
        </w:rPr>
      </w:pPr>
    </w:p>
    <w:p w:rsidR="009F327F" w:rsidRPr="0018635E" w:rsidRDefault="00811BAF" w:rsidP="00F203D6">
      <w:pPr>
        <w:pStyle w:val="MoENumberedList"/>
        <w:spacing w:after="0"/>
        <w:ind w:left="0" w:firstLine="0"/>
        <w:rPr>
          <w:rFonts w:cs="Arial"/>
          <w:b/>
          <w:i/>
          <w:color w:val="4F81BD" w:themeColor="accent1"/>
          <w:sz w:val="22"/>
        </w:rPr>
      </w:pPr>
      <w:r w:rsidRPr="0018635E">
        <w:rPr>
          <w:rFonts w:cs="Arial"/>
          <w:b/>
          <w:i/>
          <w:color w:val="4F81BD" w:themeColor="accent1"/>
          <w:sz w:val="22"/>
        </w:rPr>
        <w:t xml:space="preserve">Intermediate Schools </w:t>
      </w:r>
      <w:r w:rsidR="0000356F" w:rsidRPr="0018635E">
        <w:rPr>
          <w:rFonts w:cs="Arial"/>
          <w:b/>
          <w:i/>
          <w:color w:val="4F81BD" w:themeColor="accent1"/>
          <w:sz w:val="22"/>
        </w:rPr>
        <w:t>-</w:t>
      </w:r>
      <w:r w:rsidRPr="0018635E">
        <w:rPr>
          <w:rFonts w:cs="Arial"/>
          <w:b/>
          <w:i/>
          <w:color w:val="4F81BD" w:themeColor="accent1"/>
          <w:sz w:val="22"/>
        </w:rPr>
        <w:t xml:space="preserve"> </w:t>
      </w:r>
      <w:r w:rsidR="009F327F" w:rsidRPr="0018635E">
        <w:rPr>
          <w:rFonts w:cs="Arial"/>
          <w:b/>
          <w:i/>
          <w:color w:val="4F81BD" w:themeColor="accent1"/>
          <w:sz w:val="22"/>
        </w:rPr>
        <w:t xml:space="preserve">Maximum Average Class Size </w:t>
      </w:r>
      <w:r w:rsidR="00E63411">
        <w:rPr>
          <w:rFonts w:cs="Arial"/>
          <w:b/>
          <w:i/>
          <w:color w:val="4F81BD" w:themeColor="accent1"/>
          <w:sz w:val="22"/>
        </w:rPr>
        <w:t>p</w:t>
      </w:r>
      <w:r w:rsidR="009F327F" w:rsidRPr="0018635E">
        <w:rPr>
          <w:rFonts w:cs="Arial"/>
          <w:b/>
          <w:i/>
          <w:color w:val="4F81BD" w:themeColor="accent1"/>
          <w:sz w:val="22"/>
        </w:rPr>
        <w:t xml:space="preserve">olicy </w:t>
      </w:r>
    </w:p>
    <w:p w:rsidR="009F327F" w:rsidRPr="00F203D6" w:rsidRDefault="009F327F" w:rsidP="00F203D6">
      <w:pPr>
        <w:pStyle w:val="MoENumberedList"/>
        <w:spacing w:after="0"/>
        <w:ind w:left="0" w:firstLine="0"/>
        <w:rPr>
          <w:rFonts w:cs="Arial"/>
          <w:sz w:val="22"/>
        </w:rPr>
      </w:pPr>
    </w:p>
    <w:p w:rsidR="00FD0753" w:rsidRDefault="009F327F" w:rsidP="00F203D6">
      <w:pPr>
        <w:pStyle w:val="MoENumberedList"/>
        <w:spacing w:after="0"/>
        <w:ind w:left="0" w:firstLine="0"/>
        <w:jc w:val="both"/>
        <w:rPr>
          <w:sz w:val="22"/>
        </w:rPr>
      </w:pPr>
      <w:r>
        <w:rPr>
          <w:sz w:val="22"/>
        </w:rPr>
        <w:t>The MACS policy also applies to intermediate schools</w:t>
      </w:r>
      <w:r w:rsidR="00327252">
        <w:rPr>
          <w:sz w:val="22"/>
        </w:rPr>
        <w:t>. Modelling indicates that the MAC</w:t>
      </w:r>
      <w:r w:rsidR="00702268">
        <w:rPr>
          <w:sz w:val="22"/>
        </w:rPr>
        <w:t>S</w:t>
      </w:r>
      <w:r w:rsidR="00327252">
        <w:rPr>
          <w:sz w:val="22"/>
        </w:rPr>
        <w:t xml:space="preserve"> policy accounts for </w:t>
      </w:r>
      <w:r w:rsidR="0033617F">
        <w:rPr>
          <w:sz w:val="22"/>
        </w:rPr>
        <w:t>some 12</w:t>
      </w:r>
      <w:r w:rsidR="00FD0753">
        <w:rPr>
          <w:sz w:val="22"/>
        </w:rPr>
        <w:t xml:space="preserve"> FTTEs</w:t>
      </w:r>
      <w:r w:rsidR="00327252">
        <w:rPr>
          <w:sz w:val="22"/>
        </w:rPr>
        <w:t xml:space="preserve"> for this group of schools</w:t>
      </w:r>
      <w:r w:rsidR="00FD0753">
        <w:rPr>
          <w:sz w:val="22"/>
        </w:rPr>
        <w:t>.</w:t>
      </w:r>
    </w:p>
    <w:p w:rsidR="00FD0753" w:rsidRDefault="00FD0753" w:rsidP="00F203D6">
      <w:pPr>
        <w:pStyle w:val="MoENumberedList"/>
        <w:spacing w:after="0"/>
        <w:ind w:left="0" w:firstLine="0"/>
        <w:jc w:val="both"/>
        <w:rPr>
          <w:sz w:val="22"/>
        </w:rPr>
      </w:pPr>
    </w:p>
    <w:p w:rsidR="009F327F" w:rsidRDefault="00FD0753" w:rsidP="00F203D6">
      <w:pPr>
        <w:pStyle w:val="MoENumberedList"/>
        <w:spacing w:after="0"/>
        <w:ind w:left="0" w:firstLine="0"/>
        <w:jc w:val="both"/>
        <w:rPr>
          <w:sz w:val="22"/>
        </w:rPr>
      </w:pPr>
      <w:r>
        <w:rPr>
          <w:rFonts w:cs="Arial"/>
          <w:sz w:val="22"/>
        </w:rPr>
        <w:t xml:space="preserve">In intermediate schools the MACs value of 25 is relatively generous, given </w:t>
      </w:r>
      <w:r w:rsidR="009F327F" w:rsidRPr="00FD0753">
        <w:rPr>
          <w:rFonts w:cs="Arial"/>
          <w:sz w:val="22"/>
        </w:rPr>
        <w:t xml:space="preserve">the underlying </w:t>
      </w:r>
      <w:r w:rsidR="00E63411">
        <w:rPr>
          <w:rFonts w:cs="Arial"/>
          <w:sz w:val="22"/>
        </w:rPr>
        <w:t>c</w:t>
      </w:r>
      <w:r w:rsidR="009F327F" w:rsidRPr="00FD0753">
        <w:rPr>
          <w:rFonts w:cs="Arial"/>
          <w:sz w:val="22"/>
        </w:rPr>
        <w:t xml:space="preserve">urriculum </w:t>
      </w:r>
      <w:r w:rsidR="00E63411">
        <w:rPr>
          <w:rFonts w:cs="Arial"/>
          <w:sz w:val="22"/>
        </w:rPr>
        <w:t>s</w:t>
      </w:r>
      <w:r w:rsidR="009F327F" w:rsidRPr="00FD0753">
        <w:rPr>
          <w:rFonts w:cs="Arial"/>
          <w:sz w:val="22"/>
        </w:rPr>
        <w:t xml:space="preserve">taffing </w:t>
      </w:r>
      <w:r w:rsidR="00E63411">
        <w:rPr>
          <w:rFonts w:cs="Arial"/>
          <w:sz w:val="22"/>
        </w:rPr>
        <w:t>r</w:t>
      </w:r>
      <w:r w:rsidR="009F327F" w:rsidRPr="00FD0753">
        <w:rPr>
          <w:rFonts w:cs="Arial"/>
          <w:sz w:val="22"/>
        </w:rPr>
        <w:t>atio for years 7 and 8 of</w:t>
      </w:r>
      <w:r w:rsidR="009F327F">
        <w:rPr>
          <w:sz w:val="22"/>
        </w:rPr>
        <w:t xml:space="preserve"> 29 students for one FTTE</w:t>
      </w:r>
      <w:r w:rsidR="00CA2612">
        <w:rPr>
          <w:sz w:val="22"/>
        </w:rPr>
        <w:t xml:space="preserve">.  </w:t>
      </w:r>
      <w:r w:rsidR="009F327F">
        <w:rPr>
          <w:sz w:val="22"/>
        </w:rPr>
        <w:t xml:space="preserve">Compared to a MACS value of 29 (consistent with the underlying curriculum staffing ratios), schools at particular roll levels receive one additional FTTE. </w:t>
      </w:r>
    </w:p>
    <w:p w:rsidR="009F327F" w:rsidRPr="0018635E" w:rsidRDefault="009F327F" w:rsidP="00F203D6">
      <w:pPr>
        <w:pStyle w:val="MoENumberedList"/>
        <w:spacing w:after="0"/>
        <w:ind w:firstLine="0"/>
        <w:rPr>
          <w:b/>
          <w:sz w:val="22"/>
        </w:rPr>
      </w:pPr>
    </w:p>
    <w:p w:rsidR="009F327F" w:rsidRPr="0018635E" w:rsidRDefault="009F327F" w:rsidP="00F203D6">
      <w:pPr>
        <w:pStyle w:val="MoENumberedList"/>
        <w:spacing w:after="0"/>
        <w:ind w:left="0" w:firstLine="0"/>
        <w:rPr>
          <w:rFonts w:cs="Arial"/>
          <w:b/>
          <w:i/>
          <w:color w:val="4F81BD" w:themeColor="accent1"/>
          <w:sz w:val="22"/>
        </w:rPr>
      </w:pPr>
      <w:r w:rsidRPr="0018635E">
        <w:rPr>
          <w:rFonts w:cs="Arial"/>
          <w:b/>
          <w:i/>
          <w:color w:val="4F81BD" w:themeColor="accent1"/>
          <w:sz w:val="22"/>
        </w:rPr>
        <w:t xml:space="preserve">Year 9 to 15 </w:t>
      </w:r>
      <w:r w:rsidR="001B006A">
        <w:rPr>
          <w:rFonts w:cs="Arial"/>
          <w:b/>
          <w:i/>
          <w:color w:val="4F81BD" w:themeColor="accent1"/>
          <w:sz w:val="22"/>
        </w:rPr>
        <w:t>s</w:t>
      </w:r>
      <w:r w:rsidRPr="0018635E">
        <w:rPr>
          <w:rFonts w:cs="Arial"/>
          <w:b/>
          <w:i/>
          <w:color w:val="4F81BD" w:themeColor="accent1"/>
          <w:sz w:val="22"/>
        </w:rPr>
        <w:t xml:space="preserve">econdary </w:t>
      </w:r>
      <w:r w:rsidR="00E63411">
        <w:rPr>
          <w:rFonts w:cs="Arial"/>
          <w:b/>
          <w:i/>
          <w:color w:val="4F81BD" w:themeColor="accent1"/>
          <w:sz w:val="22"/>
        </w:rPr>
        <w:t>s</w:t>
      </w:r>
      <w:r w:rsidRPr="0018635E">
        <w:rPr>
          <w:rFonts w:cs="Arial"/>
          <w:b/>
          <w:i/>
          <w:color w:val="4F81BD" w:themeColor="accent1"/>
          <w:sz w:val="22"/>
        </w:rPr>
        <w:t xml:space="preserve">chools </w:t>
      </w:r>
      <w:r w:rsidR="0000356F" w:rsidRPr="0018635E">
        <w:rPr>
          <w:rFonts w:cs="Arial"/>
          <w:b/>
          <w:i/>
          <w:color w:val="4F81BD" w:themeColor="accent1"/>
          <w:sz w:val="22"/>
        </w:rPr>
        <w:t xml:space="preserve">- Base </w:t>
      </w:r>
      <w:r w:rsidR="00E63411">
        <w:rPr>
          <w:rFonts w:cs="Arial"/>
          <w:b/>
          <w:i/>
          <w:color w:val="4F81BD" w:themeColor="accent1"/>
          <w:sz w:val="22"/>
        </w:rPr>
        <w:t>C</w:t>
      </w:r>
      <w:r w:rsidR="00291CBF">
        <w:rPr>
          <w:rFonts w:cs="Arial"/>
          <w:b/>
          <w:i/>
          <w:color w:val="4F81BD" w:themeColor="accent1"/>
          <w:sz w:val="22"/>
        </w:rPr>
        <w:t xml:space="preserve">urriculum </w:t>
      </w:r>
      <w:r w:rsidR="00E63411">
        <w:rPr>
          <w:rFonts w:cs="Arial"/>
          <w:b/>
          <w:i/>
          <w:color w:val="4F81BD" w:themeColor="accent1"/>
          <w:sz w:val="22"/>
        </w:rPr>
        <w:t>S</w:t>
      </w:r>
      <w:r w:rsidR="0000356F" w:rsidRPr="0018635E">
        <w:rPr>
          <w:rFonts w:cs="Arial"/>
          <w:b/>
          <w:i/>
          <w:color w:val="4F81BD" w:themeColor="accent1"/>
          <w:sz w:val="22"/>
        </w:rPr>
        <w:t xml:space="preserve">taffing and </w:t>
      </w:r>
      <w:r w:rsidR="00E63411">
        <w:rPr>
          <w:rFonts w:cs="Arial"/>
          <w:b/>
          <w:i/>
          <w:color w:val="4F81BD" w:themeColor="accent1"/>
          <w:sz w:val="22"/>
        </w:rPr>
        <w:t>A</w:t>
      </w:r>
      <w:r w:rsidR="00291CBF">
        <w:rPr>
          <w:rFonts w:cs="Arial"/>
          <w:b/>
          <w:i/>
          <w:color w:val="4F81BD" w:themeColor="accent1"/>
          <w:sz w:val="22"/>
        </w:rPr>
        <w:t xml:space="preserve">dditional </w:t>
      </w:r>
      <w:r w:rsidR="00E63411">
        <w:rPr>
          <w:rFonts w:cs="Arial"/>
          <w:b/>
          <w:i/>
          <w:color w:val="4F81BD" w:themeColor="accent1"/>
          <w:sz w:val="22"/>
        </w:rPr>
        <w:t>G</w:t>
      </w:r>
      <w:r w:rsidR="00291CBF">
        <w:rPr>
          <w:rFonts w:cs="Arial"/>
          <w:b/>
          <w:i/>
          <w:color w:val="4F81BD" w:themeColor="accent1"/>
          <w:sz w:val="22"/>
        </w:rPr>
        <w:t xml:space="preserve">uidance </w:t>
      </w:r>
      <w:r w:rsidR="00E63411">
        <w:rPr>
          <w:rFonts w:cs="Arial"/>
          <w:b/>
          <w:i/>
          <w:color w:val="4F81BD" w:themeColor="accent1"/>
          <w:sz w:val="22"/>
        </w:rPr>
        <w:t>S</w:t>
      </w:r>
      <w:r w:rsidR="0000356F" w:rsidRPr="0018635E">
        <w:rPr>
          <w:rFonts w:cs="Arial"/>
          <w:b/>
          <w:i/>
          <w:color w:val="4F81BD" w:themeColor="accent1"/>
          <w:sz w:val="22"/>
        </w:rPr>
        <w:t>taffing</w:t>
      </w:r>
    </w:p>
    <w:p w:rsidR="009F327F" w:rsidRPr="00F203D6" w:rsidRDefault="009F327F" w:rsidP="00F203D6">
      <w:pPr>
        <w:pStyle w:val="MoENumberedList"/>
        <w:spacing w:after="0"/>
        <w:ind w:firstLine="0"/>
        <w:rPr>
          <w:sz w:val="22"/>
        </w:rPr>
      </w:pPr>
    </w:p>
    <w:p w:rsidR="009F327F" w:rsidRDefault="009F327F" w:rsidP="00F203D6">
      <w:pPr>
        <w:pStyle w:val="MoENumberedList"/>
        <w:spacing w:after="0"/>
        <w:ind w:left="0" w:firstLine="0"/>
        <w:jc w:val="both"/>
        <w:rPr>
          <w:sz w:val="22"/>
        </w:rPr>
      </w:pPr>
      <w:r>
        <w:rPr>
          <w:sz w:val="22"/>
        </w:rPr>
        <w:t xml:space="preserve">Year 9 to 15 secondary schools receive Base Curriculum Staffing and Additional Guidance Staffing entitlement. </w:t>
      </w:r>
      <w:r w:rsidR="00327252">
        <w:rPr>
          <w:sz w:val="22"/>
        </w:rPr>
        <w:t xml:space="preserve">Modelling indicates that as </w:t>
      </w:r>
      <w:r w:rsidR="00C518A8">
        <w:rPr>
          <w:sz w:val="22"/>
        </w:rPr>
        <w:t xml:space="preserve">a group these schools receive an </w:t>
      </w:r>
      <w:r>
        <w:rPr>
          <w:sz w:val="22"/>
        </w:rPr>
        <w:t xml:space="preserve">estimated </w:t>
      </w:r>
      <w:r w:rsidR="009C0D06">
        <w:rPr>
          <w:color w:val="000000"/>
          <w:sz w:val="22"/>
        </w:rPr>
        <w:t xml:space="preserve">1,311 </w:t>
      </w:r>
      <w:r>
        <w:rPr>
          <w:sz w:val="22"/>
        </w:rPr>
        <w:t xml:space="preserve">FTTEs from </w:t>
      </w:r>
      <w:r w:rsidR="00DE1330">
        <w:rPr>
          <w:sz w:val="22"/>
        </w:rPr>
        <w:t>B</w:t>
      </w:r>
      <w:r>
        <w:rPr>
          <w:sz w:val="22"/>
        </w:rPr>
        <w:t xml:space="preserve">ase </w:t>
      </w:r>
      <w:r w:rsidR="00DE1330">
        <w:rPr>
          <w:sz w:val="22"/>
        </w:rPr>
        <w:t>C</w:t>
      </w:r>
      <w:r>
        <w:rPr>
          <w:sz w:val="22"/>
        </w:rPr>
        <w:t xml:space="preserve">urriculum </w:t>
      </w:r>
      <w:r w:rsidR="00DE1330">
        <w:rPr>
          <w:sz w:val="22"/>
        </w:rPr>
        <w:t>S</w:t>
      </w:r>
      <w:r>
        <w:rPr>
          <w:sz w:val="22"/>
        </w:rPr>
        <w:t>taffing and 50</w:t>
      </w:r>
      <w:r w:rsidR="0033617F">
        <w:rPr>
          <w:sz w:val="22"/>
        </w:rPr>
        <w:t>0</w:t>
      </w:r>
      <w:r w:rsidR="00C518A8">
        <w:rPr>
          <w:sz w:val="22"/>
        </w:rPr>
        <w:t xml:space="preserve"> </w:t>
      </w:r>
      <w:r>
        <w:rPr>
          <w:sz w:val="22"/>
        </w:rPr>
        <w:t>FTTEs from Additional Guidance Staffing</w:t>
      </w:r>
      <w:r w:rsidR="00C518A8">
        <w:rPr>
          <w:sz w:val="22"/>
        </w:rPr>
        <w:t>.</w:t>
      </w:r>
    </w:p>
    <w:p w:rsidR="009F327F" w:rsidRDefault="009F327F" w:rsidP="00F203D6">
      <w:pPr>
        <w:pStyle w:val="MoENumberedList"/>
        <w:spacing w:after="0"/>
        <w:ind w:firstLine="0"/>
        <w:rPr>
          <w:sz w:val="22"/>
        </w:rPr>
      </w:pPr>
    </w:p>
    <w:p w:rsidR="00C518A8" w:rsidRDefault="009F327F" w:rsidP="00F203D6">
      <w:pPr>
        <w:pStyle w:val="MoENumberedList"/>
        <w:spacing w:after="0"/>
        <w:ind w:left="0" w:firstLine="0"/>
        <w:jc w:val="both"/>
        <w:rPr>
          <w:sz w:val="22"/>
        </w:rPr>
      </w:pPr>
      <w:r w:rsidRPr="005A04DC">
        <w:rPr>
          <w:sz w:val="22"/>
        </w:rPr>
        <w:t>The formula</w:t>
      </w:r>
      <w:r w:rsidR="00C518A8">
        <w:rPr>
          <w:sz w:val="22"/>
        </w:rPr>
        <w:t>e</w:t>
      </w:r>
      <w:r w:rsidRPr="005A04DC">
        <w:rPr>
          <w:sz w:val="22"/>
        </w:rPr>
        <w:t xml:space="preserve"> for Base Curriculum Staffing and Additional Guidance Staffing share a common structure, and are</w:t>
      </w:r>
      <w:r w:rsidR="00E63411">
        <w:rPr>
          <w:sz w:val="22"/>
        </w:rPr>
        <w:t>, therefore,</w:t>
      </w:r>
      <w:r w:rsidRPr="005A04DC">
        <w:rPr>
          <w:sz w:val="22"/>
        </w:rPr>
        <w:t xml:space="preserve"> discussed together. </w:t>
      </w:r>
      <w:r>
        <w:rPr>
          <w:sz w:val="22"/>
        </w:rPr>
        <w:t xml:space="preserve">Schools receive </w:t>
      </w:r>
      <w:r w:rsidR="00C518A8">
        <w:rPr>
          <w:sz w:val="22"/>
        </w:rPr>
        <w:t>B</w:t>
      </w:r>
      <w:r w:rsidRPr="005A04DC">
        <w:rPr>
          <w:sz w:val="22"/>
        </w:rPr>
        <w:t xml:space="preserve">ase </w:t>
      </w:r>
      <w:r w:rsidR="00C518A8">
        <w:rPr>
          <w:sz w:val="22"/>
        </w:rPr>
        <w:t>C</w:t>
      </w:r>
      <w:r w:rsidRPr="005A04DC">
        <w:rPr>
          <w:sz w:val="22"/>
        </w:rPr>
        <w:t xml:space="preserve">urriculum </w:t>
      </w:r>
      <w:r w:rsidR="00C518A8">
        <w:rPr>
          <w:sz w:val="22"/>
        </w:rPr>
        <w:t>S</w:t>
      </w:r>
      <w:r w:rsidRPr="005A04DC">
        <w:rPr>
          <w:sz w:val="22"/>
        </w:rPr>
        <w:t xml:space="preserve">taffing of a minimum of 0.5 FTTEs </w:t>
      </w:r>
      <w:r>
        <w:rPr>
          <w:sz w:val="22"/>
        </w:rPr>
        <w:t xml:space="preserve">and </w:t>
      </w:r>
      <w:r w:rsidR="00C518A8">
        <w:rPr>
          <w:sz w:val="22"/>
        </w:rPr>
        <w:t>A</w:t>
      </w:r>
      <w:r>
        <w:rPr>
          <w:sz w:val="22"/>
        </w:rPr>
        <w:t xml:space="preserve">dditional </w:t>
      </w:r>
      <w:r w:rsidR="00C518A8">
        <w:rPr>
          <w:sz w:val="22"/>
        </w:rPr>
        <w:t>G</w:t>
      </w:r>
      <w:r>
        <w:rPr>
          <w:sz w:val="22"/>
        </w:rPr>
        <w:t xml:space="preserve">uidance </w:t>
      </w:r>
      <w:r w:rsidR="00C518A8">
        <w:rPr>
          <w:sz w:val="22"/>
        </w:rPr>
        <w:t>S</w:t>
      </w:r>
      <w:r>
        <w:rPr>
          <w:sz w:val="22"/>
        </w:rPr>
        <w:t xml:space="preserve">taffing </w:t>
      </w:r>
      <w:r w:rsidR="00C518A8">
        <w:rPr>
          <w:sz w:val="22"/>
        </w:rPr>
        <w:t xml:space="preserve">of 0.18 FTTEs </w:t>
      </w:r>
      <w:r>
        <w:rPr>
          <w:sz w:val="22"/>
        </w:rPr>
        <w:t>for every year</w:t>
      </w:r>
      <w:r w:rsidR="00C518A8">
        <w:rPr>
          <w:sz w:val="22"/>
        </w:rPr>
        <w:t xml:space="preserve"> level</w:t>
      </w:r>
      <w:r>
        <w:rPr>
          <w:sz w:val="22"/>
        </w:rPr>
        <w:t xml:space="preserve"> with a</w:t>
      </w:r>
      <w:r w:rsidR="000C0072">
        <w:rPr>
          <w:sz w:val="22"/>
        </w:rPr>
        <w:t xml:space="preserve">t least one student. The amount increases to a maximum of </w:t>
      </w:r>
      <w:r w:rsidR="00B651B5">
        <w:rPr>
          <w:sz w:val="22"/>
        </w:rPr>
        <w:t xml:space="preserve">around </w:t>
      </w:r>
      <w:r w:rsidR="000C0072">
        <w:rPr>
          <w:sz w:val="22"/>
        </w:rPr>
        <w:t>1</w:t>
      </w:r>
      <w:r w:rsidR="00B651B5">
        <w:rPr>
          <w:sz w:val="22"/>
        </w:rPr>
        <w:t>.2</w:t>
      </w:r>
      <w:r w:rsidR="000C0072">
        <w:rPr>
          <w:sz w:val="22"/>
        </w:rPr>
        <w:t xml:space="preserve"> FTTE of Base Cu</w:t>
      </w:r>
      <w:r w:rsidR="001326D6">
        <w:rPr>
          <w:sz w:val="22"/>
        </w:rPr>
        <w:t>rriculum Staffing and 0.45 FTTEs</w:t>
      </w:r>
      <w:r w:rsidR="000C0072">
        <w:rPr>
          <w:sz w:val="22"/>
        </w:rPr>
        <w:t xml:space="preserve"> of Additional Guidance Staffing when the</w:t>
      </w:r>
      <w:r w:rsidR="00DE1330">
        <w:rPr>
          <w:sz w:val="22"/>
        </w:rPr>
        <w:t>re</w:t>
      </w:r>
      <w:r w:rsidR="000C0072">
        <w:rPr>
          <w:sz w:val="22"/>
        </w:rPr>
        <w:t xml:space="preserve"> are 40 students in the year level. This means </w:t>
      </w:r>
      <w:r w:rsidR="00C518A8">
        <w:rPr>
          <w:sz w:val="22"/>
        </w:rPr>
        <w:t>a school with five year levels receives a maximum of 6 FTTEs of Curriculum Base Staffing and 2.3 FTTEs of Additional Guidance Staffing</w:t>
      </w:r>
      <w:r w:rsidR="000C0072">
        <w:rPr>
          <w:sz w:val="22"/>
        </w:rPr>
        <w:t xml:space="preserve"> at a roll of around 200 students.</w:t>
      </w:r>
    </w:p>
    <w:p w:rsidR="00C518A8" w:rsidRDefault="00C518A8" w:rsidP="00F203D6">
      <w:pPr>
        <w:pStyle w:val="MoENumberedList"/>
        <w:spacing w:after="0"/>
        <w:ind w:left="0" w:firstLine="0"/>
        <w:jc w:val="both"/>
        <w:rPr>
          <w:sz w:val="22"/>
        </w:rPr>
      </w:pPr>
    </w:p>
    <w:p w:rsidR="000C0072" w:rsidRDefault="009F327F" w:rsidP="00F203D6">
      <w:pPr>
        <w:pStyle w:val="MoENumberedList"/>
        <w:spacing w:after="0"/>
        <w:ind w:left="0" w:firstLine="0"/>
        <w:jc w:val="both"/>
        <w:rPr>
          <w:sz w:val="22"/>
        </w:rPr>
      </w:pPr>
      <w:r>
        <w:rPr>
          <w:sz w:val="22"/>
        </w:rPr>
        <w:t xml:space="preserve">The justification for linking the level of </w:t>
      </w:r>
      <w:r w:rsidR="000C0072">
        <w:rPr>
          <w:sz w:val="22"/>
        </w:rPr>
        <w:t xml:space="preserve">Base Curriculum Staffing and Additional Guidance Staffing to </w:t>
      </w:r>
      <w:r>
        <w:rPr>
          <w:sz w:val="22"/>
        </w:rPr>
        <w:t xml:space="preserve">the number of year levels is unclear. </w:t>
      </w:r>
      <w:r w:rsidR="000C0072">
        <w:rPr>
          <w:sz w:val="22"/>
        </w:rPr>
        <w:t>It leads to anomalous impacts for junior high schools and senior secondary schools; and also for composite schools with very small secondary rolls (see below).</w:t>
      </w:r>
    </w:p>
    <w:p w:rsidR="009F327F" w:rsidRDefault="00A06CDA" w:rsidP="00F203D6">
      <w:pPr>
        <w:pStyle w:val="MoENumberedList"/>
        <w:spacing w:after="0"/>
        <w:ind w:left="0" w:firstLine="0"/>
        <w:jc w:val="both"/>
        <w:rPr>
          <w:sz w:val="22"/>
        </w:rPr>
      </w:pPr>
      <w:r>
        <w:rPr>
          <w:sz w:val="22"/>
        </w:rPr>
        <w:t>T</w:t>
      </w:r>
      <w:r w:rsidR="009F327F">
        <w:rPr>
          <w:sz w:val="22"/>
        </w:rPr>
        <w:t>he</w:t>
      </w:r>
      <w:r w:rsidR="000C0072">
        <w:rPr>
          <w:sz w:val="22"/>
        </w:rPr>
        <w:t xml:space="preserve"> level of base staffing provided through these arrangements </w:t>
      </w:r>
      <w:r w:rsidR="00811BAF">
        <w:rPr>
          <w:sz w:val="22"/>
        </w:rPr>
        <w:t xml:space="preserve">appears relatively generous compared to primary schools. </w:t>
      </w:r>
      <w:r>
        <w:rPr>
          <w:sz w:val="22"/>
        </w:rPr>
        <w:t>And</w:t>
      </w:r>
      <w:r w:rsidR="00811BAF">
        <w:rPr>
          <w:sz w:val="22"/>
        </w:rPr>
        <w:t xml:space="preserve"> unlike primary and intermediate schools, base staffing entitlement </w:t>
      </w:r>
      <w:r w:rsidR="00DE1330">
        <w:rPr>
          <w:sz w:val="22"/>
        </w:rPr>
        <w:t>is not withdrawn or abate</w:t>
      </w:r>
      <w:r w:rsidR="001C4737">
        <w:rPr>
          <w:sz w:val="22"/>
        </w:rPr>
        <w:t>d</w:t>
      </w:r>
      <w:r w:rsidR="00DE1330">
        <w:rPr>
          <w:sz w:val="22"/>
        </w:rPr>
        <w:t xml:space="preserve"> as roll size increases </w:t>
      </w:r>
      <w:r w:rsidR="00811BAF">
        <w:rPr>
          <w:sz w:val="22"/>
        </w:rPr>
        <w:t xml:space="preserve">beyond 200 students. These elements are key drivers of the high average </w:t>
      </w:r>
      <w:r w:rsidR="009F327F">
        <w:rPr>
          <w:sz w:val="22"/>
        </w:rPr>
        <w:t>per</w:t>
      </w:r>
      <w:r w:rsidR="00E63411">
        <w:rPr>
          <w:sz w:val="22"/>
        </w:rPr>
        <w:t>-</w:t>
      </w:r>
      <w:r w:rsidR="009F327F">
        <w:rPr>
          <w:sz w:val="22"/>
        </w:rPr>
        <w:t xml:space="preserve">student cost of small year 9 to 15 secondary schools. </w:t>
      </w:r>
    </w:p>
    <w:p w:rsidR="00E63411" w:rsidRDefault="00E63411">
      <w:pPr>
        <w:rPr>
          <w:rFonts w:ascii="Arial" w:eastAsiaTheme="minorHAnsi" w:hAnsi="Arial" w:cstheme="minorBidi"/>
          <w:sz w:val="22"/>
          <w:szCs w:val="22"/>
          <w:lang w:val="en-NZ"/>
        </w:rPr>
      </w:pPr>
    </w:p>
    <w:p w:rsidR="009F327F" w:rsidRPr="0018635E" w:rsidRDefault="009F327F" w:rsidP="00F203D6">
      <w:pPr>
        <w:pStyle w:val="MoENumberedList"/>
        <w:spacing w:after="0"/>
        <w:ind w:left="0" w:firstLine="0"/>
        <w:rPr>
          <w:rFonts w:cs="Arial"/>
          <w:b/>
          <w:i/>
          <w:color w:val="4F81BD" w:themeColor="accent1"/>
          <w:sz w:val="22"/>
        </w:rPr>
      </w:pPr>
      <w:r w:rsidRPr="0018635E">
        <w:rPr>
          <w:rFonts w:cs="Arial"/>
          <w:b/>
          <w:i/>
          <w:color w:val="4F81BD" w:themeColor="accent1"/>
          <w:sz w:val="22"/>
        </w:rPr>
        <w:t>Year 7 to 15 secondary schools</w:t>
      </w:r>
    </w:p>
    <w:p w:rsidR="009F327F" w:rsidRDefault="009F327F" w:rsidP="00F203D6">
      <w:pPr>
        <w:pStyle w:val="MoENumberedList"/>
        <w:spacing w:after="0"/>
        <w:rPr>
          <w:sz w:val="22"/>
        </w:rPr>
      </w:pPr>
    </w:p>
    <w:p w:rsidR="0000356F" w:rsidRDefault="009F327F" w:rsidP="00F203D6">
      <w:pPr>
        <w:pStyle w:val="MoENumberedList"/>
        <w:spacing w:after="0"/>
        <w:ind w:left="0" w:firstLine="0"/>
        <w:jc w:val="both"/>
        <w:rPr>
          <w:sz w:val="22"/>
        </w:rPr>
      </w:pPr>
      <w:r>
        <w:rPr>
          <w:sz w:val="22"/>
        </w:rPr>
        <w:t xml:space="preserve">The MACS policy, Base Curriculum Staffing and Additional Guidance Staffing apply to Year 7 to 15 secondary schools. (A similar approach applies to </w:t>
      </w:r>
      <w:r w:rsidR="001B006A">
        <w:rPr>
          <w:sz w:val="22"/>
        </w:rPr>
        <w:t>j</w:t>
      </w:r>
      <w:r>
        <w:rPr>
          <w:sz w:val="22"/>
        </w:rPr>
        <w:t xml:space="preserve">unior </w:t>
      </w:r>
      <w:r w:rsidR="001B006A">
        <w:rPr>
          <w:sz w:val="22"/>
        </w:rPr>
        <w:t>h</w:t>
      </w:r>
      <w:r>
        <w:rPr>
          <w:sz w:val="22"/>
        </w:rPr>
        <w:t xml:space="preserve">igh </w:t>
      </w:r>
      <w:r w:rsidR="001B006A">
        <w:rPr>
          <w:sz w:val="22"/>
        </w:rPr>
        <w:t>s</w:t>
      </w:r>
      <w:r>
        <w:rPr>
          <w:sz w:val="22"/>
        </w:rPr>
        <w:t xml:space="preserve">chools – Year 7 to 10 schools). </w:t>
      </w:r>
      <w:r w:rsidR="00327252">
        <w:rPr>
          <w:sz w:val="22"/>
        </w:rPr>
        <w:t>Modelling indicates that a</w:t>
      </w:r>
      <w:r>
        <w:rPr>
          <w:sz w:val="22"/>
        </w:rPr>
        <w:t xml:space="preserve">s a group, Year 7 to 15 secondary schools receive </w:t>
      </w:r>
      <w:r w:rsidR="00327252">
        <w:rPr>
          <w:sz w:val="22"/>
        </w:rPr>
        <w:t xml:space="preserve">some </w:t>
      </w:r>
      <w:r w:rsidR="0000356F" w:rsidRPr="001326D6">
        <w:rPr>
          <w:sz w:val="22"/>
        </w:rPr>
        <w:t xml:space="preserve">additional </w:t>
      </w:r>
      <w:r w:rsidRPr="001326D6">
        <w:rPr>
          <w:sz w:val="22"/>
        </w:rPr>
        <w:t>6</w:t>
      </w:r>
      <w:r w:rsidR="001326D6">
        <w:rPr>
          <w:sz w:val="22"/>
        </w:rPr>
        <w:t>6</w:t>
      </w:r>
      <w:r w:rsidR="00DE1330" w:rsidRPr="001326D6">
        <w:rPr>
          <w:sz w:val="22"/>
        </w:rPr>
        <w:t xml:space="preserve"> </w:t>
      </w:r>
      <w:r w:rsidRPr="001326D6">
        <w:rPr>
          <w:sz w:val="22"/>
        </w:rPr>
        <w:t>FTTEs through the MACS</w:t>
      </w:r>
      <w:r w:rsidR="0000356F" w:rsidRPr="001326D6">
        <w:rPr>
          <w:sz w:val="22"/>
        </w:rPr>
        <w:t xml:space="preserve"> Policy, </w:t>
      </w:r>
      <w:r w:rsidRPr="001326D6">
        <w:rPr>
          <w:sz w:val="22"/>
        </w:rPr>
        <w:t>57</w:t>
      </w:r>
      <w:r w:rsidR="0000356F" w:rsidRPr="001326D6">
        <w:rPr>
          <w:sz w:val="22"/>
        </w:rPr>
        <w:t>4</w:t>
      </w:r>
      <w:r w:rsidRPr="001326D6">
        <w:rPr>
          <w:sz w:val="22"/>
        </w:rPr>
        <w:t xml:space="preserve"> FTT</w:t>
      </w:r>
      <w:r w:rsidR="0000356F" w:rsidRPr="001326D6">
        <w:rPr>
          <w:sz w:val="22"/>
        </w:rPr>
        <w:t>Es from</w:t>
      </w:r>
      <w:r w:rsidRPr="001326D6">
        <w:rPr>
          <w:sz w:val="22"/>
        </w:rPr>
        <w:t xml:space="preserve"> Base Curriculum Staffing</w:t>
      </w:r>
      <w:r w:rsidR="0000356F" w:rsidRPr="001326D6">
        <w:rPr>
          <w:sz w:val="22"/>
        </w:rPr>
        <w:t>,</w:t>
      </w:r>
      <w:r w:rsidR="001C4737" w:rsidRPr="001326D6">
        <w:rPr>
          <w:sz w:val="22"/>
        </w:rPr>
        <w:t xml:space="preserve"> and 216</w:t>
      </w:r>
      <w:r w:rsidRPr="001326D6">
        <w:rPr>
          <w:sz w:val="22"/>
        </w:rPr>
        <w:t xml:space="preserve"> FTTEs </w:t>
      </w:r>
      <w:r w:rsidR="0000356F" w:rsidRPr="001326D6">
        <w:rPr>
          <w:sz w:val="22"/>
        </w:rPr>
        <w:t>from</w:t>
      </w:r>
      <w:r w:rsidRPr="001326D6">
        <w:rPr>
          <w:sz w:val="22"/>
        </w:rPr>
        <w:t xml:space="preserve"> Additional Guidance Staffing</w:t>
      </w:r>
      <w:r w:rsidR="0000356F" w:rsidRPr="001326D6">
        <w:rPr>
          <w:sz w:val="22"/>
        </w:rPr>
        <w:t>.</w:t>
      </w:r>
    </w:p>
    <w:p w:rsidR="009F327F" w:rsidRDefault="009F327F" w:rsidP="00F203D6">
      <w:pPr>
        <w:pStyle w:val="MoENumberedList"/>
        <w:spacing w:after="0"/>
        <w:ind w:firstLine="0"/>
        <w:rPr>
          <w:sz w:val="22"/>
        </w:rPr>
      </w:pPr>
    </w:p>
    <w:p w:rsidR="009F327F" w:rsidRDefault="009F327F" w:rsidP="00F203D6">
      <w:pPr>
        <w:pStyle w:val="MoENumberedList"/>
        <w:spacing w:after="0"/>
        <w:ind w:left="0" w:firstLine="0"/>
        <w:jc w:val="both"/>
        <w:rPr>
          <w:sz w:val="22"/>
        </w:rPr>
      </w:pPr>
      <w:r>
        <w:rPr>
          <w:sz w:val="22"/>
        </w:rPr>
        <w:t xml:space="preserve">The key question is the appropriateness of applying two different approaches to addressing the implications of small size to a single institution. </w:t>
      </w:r>
      <w:r w:rsidR="00DE1330">
        <w:rPr>
          <w:sz w:val="22"/>
        </w:rPr>
        <w:t>S</w:t>
      </w:r>
      <w:r>
        <w:rPr>
          <w:sz w:val="22"/>
        </w:rPr>
        <w:t>uch schools are likely to view themselves, and operate as, a single institution – not a separate intermediate and secondary school.</w:t>
      </w:r>
    </w:p>
    <w:p w:rsidR="009F327F" w:rsidRPr="0018635E" w:rsidRDefault="009F327F" w:rsidP="00F203D6">
      <w:pPr>
        <w:pStyle w:val="MoENumberedList"/>
        <w:spacing w:after="0"/>
        <w:ind w:firstLine="0"/>
        <w:jc w:val="both"/>
        <w:rPr>
          <w:b/>
          <w:sz w:val="22"/>
        </w:rPr>
      </w:pPr>
      <w:r w:rsidRPr="0018635E">
        <w:rPr>
          <w:b/>
          <w:sz w:val="22"/>
        </w:rPr>
        <w:t xml:space="preserve"> </w:t>
      </w:r>
    </w:p>
    <w:p w:rsidR="009F327F" w:rsidRPr="0018635E" w:rsidRDefault="009F327F" w:rsidP="00F203D6">
      <w:pPr>
        <w:pStyle w:val="MoENumberedList"/>
        <w:spacing w:after="0"/>
        <w:ind w:left="0" w:firstLine="0"/>
        <w:jc w:val="both"/>
        <w:rPr>
          <w:rFonts w:cs="Arial"/>
          <w:b/>
          <w:i/>
          <w:color w:val="4F81BD" w:themeColor="accent1"/>
          <w:sz w:val="22"/>
        </w:rPr>
      </w:pPr>
      <w:r w:rsidRPr="0018635E">
        <w:rPr>
          <w:rFonts w:cs="Arial"/>
          <w:b/>
          <w:i/>
          <w:color w:val="4F81BD" w:themeColor="accent1"/>
          <w:sz w:val="22"/>
        </w:rPr>
        <w:t>Composite schools</w:t>
      </w:r>
    </w:p>
    <w:p w:rsidR="009F327F" w:rsidRDefault="009F327F" w:rsidP="00F203D6">
      <w:pPr>
        <w:pStyle w:val="MoENumberedList"/>
        <w:spacing w:after="0"/>
        <w:ind w:firstLine="0"/>
        <w:jc w:val="both"/>
        <w:rPr>
          <w:sz w:val="22"/>
        </w:rPr>
      </w:pPr>
    </w:p>
    <w:p w:rsidR="009F327F" w:rsidRDefault="009F327F" w:rsidP="00F203D6">
      <w:pPr>
        <w:pStyle w:val="MoENumberedList"/>
        <w:spacing w:after="0"/>
        <w:ind w:left="0" w:firstLine="0"/>
        <w:jc w:val="both"/>
        <w:rPr>
          <w:sz w:val="22"/>
        </w:rPr>
      </w:pPr>
      <w:r>
        <w:rPr>
          <w:sz w:val="22"/>
        </w:rPr>
        <w:t xml:space="preserve">Composite schools are treated in a similar way to Year 7 to 15 secondary schools. </w:t>
      </w:r>
      <w:r w:rsidR="008059D1">
        <w:rPr>
          <w:sz w:val="22"/>
        </w:rPr>
        <w:t>A</w:t>
      </w:r>
      <w:r>
        <w:rPr>
          <w:sz w:val="22"/>
        </w:rPr>
        <w:t xml:space="preserve">lthough in the case of Māori medium schools (which are significant for this group) the underlying </w:t>
      </w:r>
      <w:r w:rsidR="001B006A">
        <w:rPr>
          <w:sz w:val="22"/>
        </w:rPr>
        <w:t>c</w:t>
      </w:r>
      <w:r>
        <w:rPr>
          <w:sz w:val="22"/>
        </w:rPr>
        <w:t xml:space="preserve">urriculum </w:t>
      </w:r>
      <w:r w:rsidR="001B006A">
        <w:rPr>
          <w:sz w:val="22"/>
        </w:rPr>
        <w:t>s</w:t>
      </w:r>
      <w:r>
        <w:rPr>
          <w:sz w:val="22"/>
        </w:rPr>
        <w:t xml:space="preserve">taffing </w:t>
      </w:r>
      <w:r w:rsidR="001B006A">
        <w:rPr>
          <w:sz w:val="22"/>
        </w:rPr>
        <w:t>r</w:t>
      </w:r>
      <w:r>
        <w:rPr>
          <w:sz w:val="22"/>
        </w:rPr>
        <w:t>atios mean that they do not receive MACS support.</w:t>
      </w:r>
      <w:r w:rsidR="002B3607">
        <w:rPr>
          <w:sz w:val="22"/>
        </w:rPr>
        <w:t xml:space="preserve"> Large composite area schools also receive an additional</w:t>
      </w:r>
      <w:r w:rsidR="00FA546F">
        <w:rPr>
          <w:sz w:val="22"/>
        </w:rPr>
        <w:t xml:space="preserve"> management staffing allowance of</w:t>
      </w:r>
      <w:r w:rsidR="002B3607">
        <w:rPr>
          <w:sz w:val="22"/>
        </w:rPr>
        <w:t xml:space="preserve"> 2 FTTEs once their roll reaches 750 </w:t>
      </w:r>
      <w:r w:rsidR="00DE1330">
        <w:rPr>
          <w:sz w:val="22"/>
        </w:rPr>
        <w:t>students</w:t>
      </w:r>
      <w:r w:rsidR="002B3607">
        <w:rPr>
          <w:sz w:val="22"/>
        </w:rPr>
        <w:t>.</w:t>
      </w:r>
      <w:r w:rsidR="00FA546F">
        <w:rPr>
          <w:rStyle w:val="FootnoteReference"/>
          <w:sz w:val="22"/>
        </w:rPr>
        <w:footnoteReference w:id="4"/>
      </w:r>
    </w:p>
    <w:p w:rsidR="009F327F" w:rsidRDefault="009F327F" w:rsidP="00F203D6">
      <w:pPr>
        <w:pStyle w:val="MoENumberedList"/>
        <w:spacing w:after="0"/>
        <w:ind w:firstLine="0"/>
        <w:jc w:val="both"/>
        <w:rPr>
          <w:sz w:val="22"/>
        </w:rPr>
      </w:pPr>
    </w:p>
    <w:p w:rsidR="008059D1" w:rsidRDefault="00327252" w:rsidP="00F203D6">
      <w:pPr>
        <w:pStyle w:val="MoENumberedList"/>
        <w:spacing w:after="0"/>
        <w:ind w:left="0" w:firstLine="0"/>
        <w:jc w:val="both"/>
        <w:rPr>
          <w:sz w:val="22"/>
        </w:rPr>
      </w:pPr>
      <w:r>
        <w:rPr>
          <w:sz w:val="22"/>
        </w:rPr>
        <w:t>Modelling indicates that c</w:t>
      </w:r>
      <w:r w:rsidRPr="001326D6">
        <w:rPr>
          <w:sz w:val="22"/>
        </w:rPr>
        <w:t xml:space="preserve">omposite </w:t>
      </w:r>
      <w:r w:rsidR="009F327F" w:rsidRPr="001326D6">
        <w:rPr>
          <w:sz w:val="22"/>
        </w:rPr>
        <w:t xml:space="preserve">schools as a group receive </w:t>
      </w:r>
      <w:r>
        <w:rPr>
          <w:sz w:val="22"/>
        </w:rPr>
        <w:t xml:space="preserve">some </w:t>
      </w:r>
      <w:r w:rsidR="001326D6">
        <w:rPr>
          <w:sz w:val="22"/>
        </w:rPr>
        <w:t>17 FTTEs</w:t>
      </w:r>
      <w:r w:rsidR="009F327F" w:rsidRPr="001326D6">
        <w:rPr>
          <w:sz w:val="22"/>
        </w:rPr>
        <w:t xml:space="preserve"> of staffing entitlement through MACS, </w:t>
      </w:r>
      <w:r w:rsidR="001326D6">
        <w:rPr>
          <w:sz w:val="22"/>
        </w:rPr>
        <w:t>421 FTTEs</w:t>
      </w:r>
      <w:r w:rsidR="009F327F" w:rsidRPr="001326D6">
        <w:rPr>
          <w:sz w:val="22"/>
        </w:rPr>
        <w:t xml:space="preserve"> through Base Curriculum Staffing and </w:t>
      </w:r>
      <w:r w:rsidR="001326D6">
        <w:rPr>
          <w:sz w:val="22"/>
        </w:rPr>
        <w:t>119</w:t>
      </w:r>
      <w:r w:rsidR="009F327F" w:rsidRPr="001326D6">
        <w:rPr>
          <w:sz w:val="22"/>
        </w:rPr>
        <w:t xml:space="preserve"> FTTEs through Additional Guidance Staffing.</w:t>
      </w:r>
      <w:r w:rsidR="009F327F" w:rsidRPr="002A3255">
        <w:rPr>
          <w:sz w:val="22"/>
        </w:rPr>
        <w:t xml:space="preserve"> </w:t>
      </w:r>
      <w:r w:rsidR="008059D1">
        <w:rPr>
          <w:sz w:val="22"/>
        </w:rPr>
        <w:t xml:space="preserve"> </w:t>
      </w:r>
    </w:p>
    <w:p w:rsidR="009F327F" w:rsidRPr="002A3255" w:rsidRDefault="009F327F" w:rsidP="00F203D6">
      <w:pPr>
        <w:pStyle w:val="MoENumberedList"/>
        <w:spacing w:after="0"/>
        <w:ind w:firstLine="0"/>
        <w:jc w:val="both"/>
        <w:rPr>
          <w:sz w:val="22"/>
        </w:rPr>
      </w:pPr>
    </w:p>
    <w:p w:rsidR="002B3607" w:rsidRDefault="002B3607" w:rsidP="00F203D6">
      <w:pPr>
        <w:pStyle w:val="MoENumberedList"/>
        <w:spacing w:after="0"/>
        <w:ind w:left="0" w:firstLine="0"/>
        <w:jc w:val="both"/>
        <w:rPr>
          <w:sz w:val="22"/>
        </w:rPr>
      </w:pPr>
      <w:r>
        <w:rPr>
          <w:sz w:val="22"/>
        </w:rPr>
        <w:t xml:space="preserve">Small composite schools generally have small secondary components, and in some cases do not have any students in </w:t>
      </w:r>
      <w:r w:rsidR="00DE1330">
        <w:rPr>
          <w:sz w:val="22"/>
        </w:rPr>
        <w:t>particular</w:t>
      </w:r>
      <w:r>
        <w:rPr>
          <w:sz w:val="22"/>
        </w:rPr>
        <w:t xml:space="preserve"> secondary year levels.</w:t>
      </w:r>
    </w:p>
    <w:p w:rsidR="002B3607" w:rsidRDefault="002B3607" w:rsidP="00F203D6">
      <w:pPr>
        <w:pStyle w:val="MoENumberedList"/>
        <w:spacing w:after="0"/>
        <w:ind w:left="0" w:firstLine="0"/>
        <w:jc w:val="both"/>
        <w:rPr>
          <w:sz w:val="22"/>
        </w:rPr>
      </w:pPr>
    </w:p>
    <w:p w:rsidR="009F327F" w:rsidRDefault="009F327F" w:rsidP="00F203D6">
      <w:pPr>
        <w:pStyle w:val="MoENumberedList"/>
        <w:spacing w:after="0"/>
        <w:ind w:left="0" w:firstLine="0"/>
        <w:jc w:val="both"/>
        <w:rPr>
          <w:sz w:val="22"/>
        </w:rPr>
      </w:pPr>
      <w:r>
        <w:rPr>
          <w:sz w:val="22"/>
        </w:rPr>
        <w:t>Two key issues arise in relation to composite schools:</w:t>
      </w:r>
    </w:p>
    <w:p w:rsidR="002B3607" w:rsidRDefault="002B3607" w:rsidP="00F203D6">
      <w:pPr>
        <w:pStyle w:val="MoENumberedList"/>
        <w:spacing w:after="0"/>
        <w:ind w:left="0" w:firstLine="0"/>
        <w:jc w:val="both"/>
        <w:rPr>
          <w:sz w:val="22"/>
        </w:rPr>
      </w:pPr>
    </w:p>
    <w:p w:rsidR="009F327F" w:rsidRDefault="009F327F" w:rsidP="00F203D6">
      <w:pPr>
        <w:pStyle w:val="MoENumberedList"/>
        <w:numPr>
          <w:ilvl w:val="0"/>
          <w:numId w:val="17"/>
        </w:numPr>
        <w:spacing w:after="0"/>
        <w:ind w:left="567" w:hanging="283"/>
        <w:jc w:val="both"/>
        <w:rPr>
          <w:sz w:val="22"/>
        </w:rPr>
      </w:pPr>
      <w:r>
        <w:rPr>
          <w:sz w:val="22"/>
        </w:rPr>
        <w:t>the appropriateness of applying two different approaches to mitigate the impact of small size on a single institution (the same issue as with Year 7 to 15 secondary schools)</w:t>
      </w:r>
    </w:p>
    <w:p w:rsidR="002B3607" w:rsidRDefault="002B3607" w:rsidP="00F203D6">
      <w:pPr>
        <w:pStyle w:val="MoENumberedList"/>
        <w:spacing w:after="0"/>
        <w:ind w:left="1080" w:firstLine="0"/>
        <w:jc w:val="both"/>
        <w:rPr>
          <w:sz w:val="22"/>
        </w:rPr>
      </w:pPr>
    </w:p>
    <w:p w:rsidR="009F327F" w:rsidRDefault="009F327F" w:rsidP="00F203D6">
      <w:pPr>
        <w:pStyle w:val="MoENumberedList"/>
        <w:numPr>
          <w:ilvl w:val="0"/>
          <w:numId w:val="17"/>
        </w:numPr>
        <w:spacing w:after="0"/>
        <w:ind w:left="567" w:hanging="283"/>
        <w:jc w:val="both"/>
        <w:rPr>
          <w:sz w:val="22"/>
        </w:rPr>
      </w:pPr>
      <w:proofErr w:type="gramStart"/>
      <w:r>
        <w:rPr>
          <w:sz w:val="22"/>
        </w:rPr>
        <w:t>the</w:t>
      </w:r>
      <w:proofErr w:type="gramEnd"/>
      <w:r>
        <w:rPr>
          <w:sz w:val="22"/>
        </w:rPr>
        <w:t xml:space="preserve"> appropriateness of the level of support provided through Base Curriculum Staffing and Additional Guidance Staffing where the secondary </w:t>
      </w:r>
      <w:proofErr w:type="spellStart"/>
      <w:r>
        <w:rPr>
          <w:sz w:val="22"/>
        </w:rPr>
        <w:t>roll</w:t>
      </w:r>
      <w:proofErr w:type="spellEnd"/>
      <w:r>
        <w:rPr>
          <w:sz w:val="22"/>
        </w:rPr>
        <w:t xml:space="preserve"> is very small.</w:t>
      </w:r>
    </w:p>
    <w:p w:rsidR="009F327F" w:rsidRPr="0018635E" w:rsidRDefault="009F327F" w:rsidP="00F203D6">
      <w:pPr>
        <w:pStyle w:val="MoENumberedList"/>
        <w:spacing w:after="0"/>
        <w:ind w:left="0" w:firstLine="0"/>
        <w:jc w:val="both"/>
        <w:rPr>
          <w:sz w:val="22"/>
        </w:rPr>
      </w:pPr>
    </w:p>
    <w:p w:rsidR="002B3607" w:rsidRPr="009C3C1B" w:rsidRDefault="002B3607" w:rsidP="00F203D6">
      <w:pPr>
        <w:pStyle w:val="MoENumberedList"/>
        <w:spacing w:after="0"/>
        <w:ind w:left="0" w:firstLine="0"/>
        <w:jc w:val="both"/>
        <w:rPr>
          <w:rFonts w:cs="Arial"/>
          <w:b/>
          <w:color w:val="4F81BD" w:themeColor="accent1"/>
          <w:sz w:val="22"/>
        </w:rPr>
      </w:pPr>
      <w:r w:rsidRPr="009C3C1B">
        <w:rPr>
          <w:rFonts w:cs="Arial"/>
          <w:b/>
          <w:color w:val="4F81BD" w:themeColor="accent1"/>
          <w:sz w:val="22"/>
        </w:rPr>
        <w:t xml:space="preserve">Preliminary </w:t>
      </w:r>
      <w:r w:rsidR="00291CBF">
        <w:rPr>
          <w:rFonts w:cs="Arial"/>
          <w:b/>
          <w:color w:val="4F81BD" w:themeColor="accent1"/>
          <w:sz w:val="22"/>
        </w:rPr>
        <w:t>c</w:t>
      </w:r>
      <w:r w:rsidRPr="009C3C1B">
        <w:rPr>
          <w:rFonts w:cs="Arial"/>
          <w:b/>
          <w:color w:val="4F81BD" w:themeColor="accent1"/>
          <w:sz w:val="22"/>
        </w:rPr>
        <w:t>onclusions</w:t>
      </w:r>
    </w:p>
    <w:p w:rsidR="00B653FC" w:rsidRPr="0018635E" w:rsidRDefault="00B653FC" w:rsidP="00F203D6">
      <w:pPr>
        <w:pStyle w:val="MoENumberedList"/>
        <w:spacing w:after="0"/>
        <w:ind w:left="0" w:firstLine="0"/>
        <w:jc w:val="both"/>
        <w:rPr>
          <w:rFonts w:cs="Arial"/>
          <w:i/>
          <w:color w:val="4F81BD" w:themeColor="accent1"/>
          <w:sz w:val="22"/>
        </w:rPr>
      </w:pPr>
    </w:p>
    <w:p w:rsidR="00E336D5" w:rsidRDefault="00A06CDA" w:rsidP="00F203D6">
      <w:pPr>
        <w:pStyle w:val="MoENumberedList"/>
        <w:spacing w:after="0"/>
        <w:ind w:left="0" w:firstLine="0"/>
        <w:jc w:val="both"/>
        <w:rPr>
          <w:sz w:val="22"/>
        </w:rPr>
      </w:pPr>
      <w:r>
        <w:rPr>
          <w:sz w:val="22"/>
        </w:rPr>
        <w:t>T</w:t>
      </w:r>
      <w:r w:rsidR="00E336D5">
        <w:rPr>
          <w:sz w:val="22"/>
        </w:rPr>
        <w:t>he</w:t>
      </w:r>
      <w:r>
        <w:rPr>
          <w:sz w:val="22"/>
        </w:rPr>
        <w:t xml:space="preserve"> analysis indicates the</w:t>
      </w:r>
      <w:r w:rsidR="00E336D5">
        <w:rPr>
          <w:sz w:val="22"/>
        </w:rPr>
        <w:t>re are opportunities to reduce the level of funding that is provided thr</w:t>
      </w:r>
      <w:r w:rsidR="00994E4F">
        <w:rPr>
          <w:sz w:val="22"/>
        </w:rPr>
        <w:t>ough base funding arrangements.</w:t>
      </w:r>
      <w:r w:rsidR="00E336D5">
        <w:rPr>
          <w:sz w:val="22"/>
        </w:rPr>
        <w:t xml:space="preserve"> This would allow more funding to be delivered on a per-student basis.</w:t>
      </w:r>
    </w:p>
    <w:p w:rsidR="00E336D5" w:rsidRDefault="00E336D5" w:rsidP="00F203D6">
      <w:pPr>
        <w:pStyle w:val="MoENumberedList"/>
        <w:spacing w:after="0"/>
        <w:ind w:left="0" w:firstLine="0"/>
        <w:jc w:val="both"/>
        <w:rPr>
          <w:sz w:val="22"/>
        </w:rPr>
      </w:pPr>
    </w:p>
    <w:p w:rsidR="00B653FC" w:rsidRDefault="00B653FC" w:rsidP="00F203D6">
      <w:pPr>
        <w:pStyle w:val="MoENumberedList"/>
        <w:spacing w:after="0"/>
        <w:ind w:left="0" w:firstLine="0"/>
        <w:jc w:val="both"/>
        <w:rPr>
          <w:sz w:val="22"/>
        </w:rPr>
      </w:pPr>
      <w:r>
        <w:rPr>
          <w:sz w:val="22"/>
        </w:rPr>
        <w:t>Current arrangements for staffing entitlement involve very different approaches</w:t>
      </w:r>
      <w:r w:rsidR="00331C22">
        <w:rPr>
          <w:sz w:val="22"/>
        </w:rPr>
        <w:t xml:space="preserve"> for</w:t>
      </w:r>
      <w:r>
        <w:rPr>
          <w:sz w:val="22"/>
        </w:rPr>
        <w:t xml:space="preserve"> addressing the impact of small size between the primary and secondary </w:t>
      </w:r>
      <w:r w:rsidR="00D40783">
        <w:rPr>
          <w:sz w:val="22"/>
        </w:rPr>
        <w:t xml:space="preserve">schooling </w:t>
      </w:r>
      <w:r>
        <w:rPr>
          <w:sz w:val="22"/>
        </w:rPr>
        <w:t>sectors</w:t>
      </w:r>
      <w:r w:rsidR="00A06CDA">
        <w:rPr>
          <w:sz w:val="22"/>
        </w:rPr>
        <w:t>,</w:t>
      </w:r>
      <w:r>
        <w:rPr>
          <w:sz w:val="22"/>
        </w:rPr>
        <w:t xml:space="preserve"> and do not consistently reflect a focus on manag</w:t>
      </w:r>
      <w:r w:rsidR="00A06CDA">
        <w:rPr>
          <w:sz w:val="22"/>
        </w:rPr>
        <w:t xml:space="preserve">ing the impact of fixed costs. </w:t>
      </w:r>
      <w:r>
        <w:rPr>
          <w:sz w:val="22"/>
        </w:rPr>
        <w:t>Further, in the case of secondary schools, there is an inconsistency in approach between operational funding where base funding abates with roll size, and staffing entitlement where the base element is retained irrespective of roll size.</w:t>
      </w:r>
      <w:r w:rsidR="00E336D5">
        <w:rPr>
          <w:sz w:val="22"/>
        </w:rPr>
        <w:t xml:space="preserve"> </w:t>
      </w:r>
    </w:p>
    <w:p w:rsidR="00B653FC" w:rsidRDefault="00B653FC" w:rsidP="00DE1330">
      <w:pPr>
        <w:pStyle w:val="MoENumberedList"/>
        <w:ind w:left="0" w:firstLine="0"/>
        <w:jc w:val="both"/>
        <w:rPr>
          <w:sz w:val="22"/>
        </w:rPr>
      </w:pPr>
    </w:p>
    <w:p w:rsidR="00B653FC" w:rsidRDefault="00B653FC" w:rsidP="00F203D6">
      <w:pPr>
        <w:pStyle w:val="MoENumberedList"/>
        <w:spacing w:after="0"/>
        <w:ind w:left="0" w:firstLine="0"/>
        <w:jc w:val="both"/>
        <w:rPr>
          <w:sz w:val="22"/>
        </w:rPr>
      </w:pPr>
      <w:r>
        <w:rPr>
          <w:sz w:val="22"/>
        </w:rPr>
        <w:t>For primary schools</w:t>
      </w:r>
      <w:r w:rsidR="00DE1330">
        <w:rPr>
          <w:sz w:val="22"/>
        </w:rPr>
        <w:t>,</w:t>
      </w:r>
      <w:r>
        <w:rPr>
          <w:sz w:val="22"/>
        </w:rPr>
        <w:t xml:space="preserve"> base elements of staffing entitlement appear to be set at minimum possible levels – small primary schools </w:t>
      </w:r>
      <w:r w:rsidR="00331C22">
        <w:rPr>
          <w:sz w:val="22"/>
        </w:rPr>
        <w:t>would probably</w:t>
      </w:r>
      <w:r>
        <w:rPr>
          <w:sz w:val="22"/>
        </w:rPr>
        <w:t xml:space="preserve"> struggle to effectively deliver the curriculum </w:t>
      </w:r>
      <w:r w:rsidR="00331C22">
        <w:rPr>
          <w:sz w:val="22"/>
        </w:rPr>
        <w:t>if base staffing entitlements were to be reduced</w:t>
      </w:r>
      <w:r>
        <w:rPr>
          <w:sz w:val="22"/>
        </w:rPr>
        <w:t>. In comparison base elements of staffing entitlement for secondary schools are significantly more generous.</w:t>
      </w:r>
    </w:p>
    <w:p w:rsidR="00B653FC" w:rsidRDefault="00B653FC" w:rsidP="00F203D6">
      <w:pPr>
        <w:pStyle w:val="MoENumberedList"/>
        <w:spacing w:after="0"/>
        <w:ind w:left="1080" w:firstLine="0"/>
        <w:jc w:val="both"/>
        <w:rPr>
          <w:sz w:val="22"/>
        </w:rPr>
      </w:pPr>
    </w:p>
    <w:p w:rsidR="00B653FC" w:rsidRDefault="00B653FC" w:rsidP="00F203D6">
      <w:pPr>
        <w:pStyle w:val="MoENumberedList"/>
        <w:spacing w:after="0"/>
        <w:ind w:left="0" w:firstLine="0"/>
        <w:jc w:val="both"/>
        <w:rPr>
          <w:sz w:val="22"/>
        </w:rPr>
      </w:pPr>
      <w:r>
        <w:rPr>
          <w:sz w:val="22"/>
        </w:rPr>
        <w:t xml:space="preserve">It would </w:t>
      </w:r>
      <w:r w:rsidR="001B006A">
        <w:rPr>
          <w:sz w:val="22"/>
        </w:rPr>
        <w:t xml:space="preserve">also </w:t>
      </w:r>
      <w:r>
        <w:rPr>
          <w:sz w:val="22"/>
        </w:rPr>
        <w:t xml:space="preserve">be useful to explore a new approach to base staffing entitlement for </w:t>
      </w:r>
      <w:r w:rsidR="00331C22">
        <w:rPr>
          <w:sz w:val="22"/>
        </w:rPr>
        <w:t xml:space="preserve">composite </w:t>
      </w:r>
      <w:r>
        <w:rPr>
          <w:sz w:val="22"/>
        </w:rPr>
        <w:t>schools</w:t>
      </w:r>
      <w:r w:rsidR="00331C22">
        <w:rPr>
          <w:sz w:val="22"/>
        </w:rPr>
        <w:t xml:space="preserve"> and secondary schools</w:t>
      </w:r>
      <w:r>
        <w:rPr>
          <w:sz w:val="22"/>
        </w:rPr>
        <w:t xml:space="preserve"> </w:t>
      </w:r>
      <w:r w:rsidR="00331C22">
        <w:rPr>
          <w:sz w:val="22"/>
        </w:rPr>
        <w:t>with</w:t>
      </w:r>
      <w:r>
        <w:rPr>
          <w:sz w:val="22"/>
        </w:rPr>
        <w:t xml:space="preserve"> a combination of primary and secondary levels that does not artificially divide these schools into two institutions.</w:t>
      </w:r>
    </w:p>
    <w:p w:rsidR="00F203D6" w:rsidRDefault="00F203D6" w:rsidP="00F203D6">
      <w:pPr>
        <w:pStyle w:val="MoENumberedList"/>
        <w:spacing w:after="0"/>
        <w:ind w:left="0" w:firstLine="0"/>
        <w:jc w:val="both"/>
        <w:rPr>
          <w:sz w:val="22"/>
        </w:rPr>
      </w:pPr>
    </w:p>
    <w:p w:rsidR="00187488" w:rsidRDefault="00187488" w:rsidP="00F203D6">
      <w:pPr>
        <w:pStyle w:val="MoENumberedList"/>
        <w:spacing w:after="0"/>
        <w:ind w:left="0" w:firstLine="0"/>
        <w:rPr>
          <w:sz w:val="22"/>
        </w:rPr>
      </w:pPr>
    </w:p>
    <w:p w:rsidR="00291CBF" w:rsidRPr="00291CBF" w:rsidRDefault="00291CBF" w:rsidP="00291CBF">
      <w:pPr>
        <w:pStyle w:val="MoENumberedList"/>
        <w:pBdr>
          <w:top w:val="single" w:sz="4" w:space="1" w:color="auto"/>
          <w:left w:val="single" w:sz="4" w:space="12" w:color="auto"/>
          <w:bottom w:val="single" w:sz="4" w:space="1" w:color="auto"/>
          <w:right w:val="single" w:sz="4" w:space="4" w:color="auto"/>
        </w:pBdr>
        <w:ind w:left="426" w:hanging="284"/>
        <w:rPr>
          <w:rFonts w:cs="Arial"/>
          <w:i/>
          <w:sz w:val="22"/>
        </w:rPr>
      </w:pPr>
      <w:r w:rsidRPr="00291CBF">
        <w:rPr>
          <w:rFonts w:cs="Arial"/>
          <w:i/>
          <w:sz w:val="22"/>
        </w:rPr>
        <w:t>Questions for discussion</w:t>
      </w:r>
    </w:p>
    <w:p w:rsidR="00291CBF" w:rsidRPr="00F203D6" w:rsidRDefault="00291CBF" w:rsidP="00291CBF">
      <w:pPr>
        <w:pStyle w:val="MoENumberedList"/>
        <w:pBdr>
          <w:top w:val="single" w:sz="4" w:space="1" w:color="auto"/>
          <w:left w:val="single" w:sz="4" w:space="12" w:color="auto"/>
          <w:bottom w:val="single" w:sz="4" w:space="1" w:color="auto"/>
          <w:right w:val="single" w:sz="4" w:space="4" w:color="auto"/>
        </w:pBdr>
        <w:ind w:left="426" w:hanging="284"/>
        <w:rPr>
          <w:rFonts w:cs="Arial"/>
          <w:i/>
          <w:sz w:val="16"/>
          <w:szCs w:val="16"/>
        </w:rPr>
      </w:pPr>
    </w:p>
    <w:p w:rsidR="00DD6DAA" w:rsidRDefault="00DD6DAA" w:rsidP="00291CBF">
      <w:pPr>
        <w:pStyle w:val="MoENumberedList"/>
        <w:pBdr>
          <w:top w:val="single" w:sz="4" w:space="1" w:color="auto"/>
          <w:left w:val="single" w:sz="4" w:space="12" w:color="auto"/>
          <w:bottom w:val="single" w:sz="4" w:space="1" w:color="auto"/>
          <w:right w:val="single" w:sz="4" w:space="4" w:color="auto"/>
        </w:pBdr>
        <w:ind w:left="142" w:firstLine="0"/>
        <w:rPr>
          <w:rFonts w:cs="Arial"/>
          <w:i/>
          <w:sz w:val="22"/>
        </w:rPr>
      </w:pPr>
      <w:r>
        <w:rPr>
          <w:rFonts w:cs="Arial"/>
          <w:i/>
          <w:sz w:val="22"/>
        </w:rPr>
        <w:t>What considerations should drive base staffing levels?</w:t>
      </w:r>
    </w:p>
    <w:p w:rsidR="00DD6DAA" w:rsidRDefault="00DD6DAA" w:rsidP="00291CBF">
      <w:pPr>
        <w:pStyle w:val="MoENumberedList"/>
        <w:pBdr>
          <w:top w:val="single" w:sz="4" w:space="1" w:color="auto"/>
          <w:left w:val="single" w:sz="4" w:space="12" w:color="auto"/>
          <w:bottom w:val="single" w:sz="4" w:space="1" w:color="auto"/>
          <w:right w:val="single" w:sz="4" w:space="4" w:color="auto"/>
        </w:pBdr>
        <w:ind w:left="142" w:firstLine="0"/>
        <w:rPr>
          <w:rFonts w:cs="Arial"/>
          <w:i/>
          <w:sz w:val="22"/>
        </w:rPr>
      </w:pPr>
    </w:p>
    <w:p w:rsidR="00DD6DAA" w:rsidRDefault="00DD6DAA" w:rsidP="00291CBF">
      <w:pPr>
        <w:pStyle w:val="MoENumberedList"/>
        <w:pBdr>
          <w:top w:val="single" w:sz="4" w:space="1" w:color="auto"/>
          <w:left w:val="single" w:sz="4" w:space="12" w:color="auto"/>
          <w:bottom w:val="single" w:sz="4" w:space="1" w:color="auto"/>
          <w:right w:val="single" w:sz="4" w:space="4" w:color="auto"/>
        </w:pBdr>
        <w:ind w:left="142" w:firstLine="0"/>
        <w:rPr>
          <w:rFonts w:cs="Arial"/>
          <w:i/>
          <w:sz w:val="22"/>
        </w:rPr>
      </w:pPr>
      <w:r>
        <w:rPr>
          <w:rFonts w:cs="Arial"/>
          <w:i/>
          <w:sz w:val="22"/>
        </w:rPr>
        <w:t>How could Communities of Learning mitigate some of these drivers?</w:t>
      </w:r>
    </w:p>
    <w:p w:rsidR="00DD6DAA" w:rsidRDefault="00DD6DAA" w:rsidP="00291CBF">
      <w:pPr>
        <w:pStyle w:val="MoENumberedList"/>
        <w:pBdr>
          <w:top w:val="single" w:sz="4" w:space="1" w:color="auto"/>
          <w:left w:val="single" w:sz="4" w:space="12" w:color="auto"/>
          <w:bottom w:val="single" w:sz="4" w:space="1" w:color="auto"/>
          <w:right w:val="single" w:sz="4" w:space="4" w:color="auto"/>
        </w:pBdr>
        <w:ind w:left="142" w:firstLine="0"/>
        <w:rPr>
          <w:rFonts w:cs="Arial"/>
          <w:i/>
          <w:sz w:val="22"/>
        </w:rPr>
      </w:pPr>
    </w:p>
    <w:p w:rsidR="00187488" w:rsidRDefault="00187488" w:rsidP="00291CBF">
      <w:pPr>
        <w:pStyle w:val="MoENumberedList"/>
        <w:pBdr>
          <w:top w:val="single" w:sz="4" w:space="1" w:color="auto"/>
          <w:left w:val="single" w:sz="4" w:space="12" w:color="auto"/>
          <w:bottom w:val="single" w:sz="4" w:space="1" w:color="auto"/>
          <w:right w:val="single" w:sz="4" w:space="4" w:color="auto"/>
        </w:pBdr>
        <w:ind w:left="142" w:firstLine="0"/>
        <w:rPr>
          <w:rFonts w:cs="Arial"/>
          <w:i/>
          <w:sz w:val="22"/>
        </w:rPr>
      </w:pPr>
      <w:r>
        <w:rPr>
          <w:rFonts w:cs="Arial"/>
          <w:i/>
          <w:sz w:val="22"/>
        </w:rPr>
        <w:t>Are different staffing arrangements to mitigate the impacts of small size</w:t>
      </w:r>
      <w:r w:rsidR="009E0790">
        <w:rPr>
          <w:rFonts w:cs="Arial"/>
          <w:i/>
          <w:sz w:val="22"/>
        </w:rPr>
        <w:t xml:space="preserve"> justified across </w:t>
      </w:r>
      <w:r w:rsidR="00DD6DAA">
        <w:rPr>
          <w:rFonts w:cs="Arial"/>
          <w:i/>
          <w:sz w:val="22"/>
        </w:rPr>
        <w:t>different types of schools</w:t>
      </w:r>
      <w:r>
        <w:rPr>
          <w:rFonts w:cs="Arial"/>
          <w:i/>
          <w:sz w:val="22"/>
        </w:rPr>
        <w:t>?</w:t>
      </w:r>
    </w:p>
    <w:p w:rsidR="00187488" w:rsidRDefault="00187488" w:rsidP="00291CBF">
      <w:pPr>
        <w:pStyle w:val="MoENumberedList"/>
        <w:pBdr>
          <w:top w:val="single" w:sz="4" w:space="1" w:color="auto"/>
          <w:left w:val="single" w:sz="4" w:space="12" w:color="auto"/>
          <w:bottom w:val="single" w:sz="4" w:space="1" w:color="auto"/>
          <w:right w:val="single" w:sz="4" w:space="4" w:color="auto"/>
        </w:pBdr>
        <w:ind w:left="142" w:firstLine="0"/>
        <w:rPr>
          <w:rFonts w:cs="Arial"/>
          <w:i/>
          <w:sz w:val="22"/>
        </w:rPr>
      </w:pPr>
    </w:p>
    <w:p w:rsidR="009E0790" w:rsidRDefault="009E0790" w:rsidP="00291CBF">
      <w:pPr>
        <w:pStyle w:val="MoENumberedList"/>
        <w:pBdr>
          <w:top w:val="single" w:sz="4" w:space="1" w:color="auto"/>
          <w:left w:val="single" w:sz="4" w:space="12" w:color="auto"/>
          <w:bottom w:val="single" w:sz="4" w:space="1" w:color="auto"/>
          <w:right w:val="single" w:sz="4" w:space="4" w:color="auto"/>
        </w:pBdr>
        <w:ind w:left="142" w:firstLine="0"/>
        <w:rPr>
          <w:rFonts w:cs="Arial"/>
          <w:i/>
          <w:sz w:val="22"/>
        </w:rPr>
      </w:pPr>
      <w:r>
        <w:rPr>
          <w:rFonts w:cs="Arial"/>
          <w:i/>
          <w:sz w:val="22"/>
        </w:rPr>
        <w:t>Is it desirable to develop a single mechanism for mitigating the impact of small size for schools that have both primary and secondary year levels?</w:t>
      </w:r>
    </w:p>
    <w:p w:rsidR="00331C22" w:rsidRDefault="00331C22" w:rsidP="00291CBF">
      <w:pPr>
        <w:pStyle w:val="MoENumberedList"/>
        <w:pBdr>
          <w:top w:val="single" w:sz="4" w:space="1" w:color="auto"/>
          <w:left w:val="single" w:sz="4" w:space="12" w:color="auto"/>
          <w:bottom w:val="single" w:sz="4" w:space="1" w:color="auto"/>
          <w:right w:val="single" w:sz="4" w:space="4" w:color="auto"/>
        </w:pBdr>
        <w:ind w:left="142" w:firstLine="0"/>
        <w:rPr>
          <w:rFonts w:cs="Arial"/>
          <w:i/>
          <w:sz w:val="22"/>
        </w:rPr>
      </w:pPr>
    </w:p>
    <w:p w:rsidR="00064638" w:rsidRDefault="00064638" w:rsidP="00331C22">
      <w:pPr>
        <w:pStyle w:val="MoENumberedList"/>
        <w:ind w:left="0" w:firstLine="0"/>
        <w:rPr>
          <w:sz w:val="22"/>
        </w:rPr>
      </w:pPr>
    </w:p>
    <w:p w:rsidR="00064638" w:rsidRPr="00064638" w:rsidRDefault="00064638" w:rsidP="00064638">
      <w:pPr>
        <w:rPr>
          <w:lang w:val="en-NZ"/>
        </w:rPr>
      </w:pPr>
    </w:p>
    <w:p w:rsidR="00064638" w:rsidRPr="00064638" w:rsidRDefault="00064638" w:rsidP="00064638">
      <w:pPr>
        <w:rPr>
          <w:lang w:val="en-NZ"/>
        </w:rPr>
      </w:pPr>
    </w:p>
    <w:p w:rsidR="00064638" w:rsidRPr="00064638" w:rsidRDefault="00064638" w:rsidP="00064638">
      <w:pPr>
        <w:rPr>
          <w:lang w:val="en-NZ"/>
        </w:rPr>
      </w:pPr>
    </w:p>
    <w:p w:rsidR="00064638" w:rsidRPr="00064638" w:rsidRDefault="00064638" w:rsidP="00064638">
      <w:pPr>
        <w:rPr>
          <w:lang w:val="en-NZ"/>
        </w:rPr>
      </w:pPr>
    </w:p>
    <w:p w:rsidR="00064638" w:rsidRPr="00064638" w:rsidRDefault="00064638" w:rsidP="00064638">
      <w:pPr>
        <w:rPr>
          <w:lang w:val="en-NZ"/>
        </w:rPr>
      </w:pPr>
    </w:p>
    <w:p w:rsidR="00064638" w:rsidRPr="00064638" w:rsidRDefault="00064638" w:rsidP="00064638">
      <w:pPr>
        <w:rPr>
          <w:lang w:val="en-NZ"/>
        </w:rPr>
      </w:pPr>
    </w:p>
    <w:p w:rsidR="00064638" w:rsidRPr="00064638" w:rsidRDefault="00064638" w:rsidP="00064638">
      <w:pPr>
        <w:rPr>
          <w:lang w:val="en-NZ"/>
        </w:rPr>
      </w:pPr>
    </w:p>
    <w:p w:rsidR="00064638" w:rsidRPr="00064638" w:rsidRDefault="00064638" w:rsidP="00064638">
      <w:pPr>
        <w:rPr>
          <w:lang w:val="en-NZ"/>
        </w:rPr>
      </w:pPr>
    </w:p>
    <w:p w:rsidR="00064638" w:rsidRPr="00064638" w:rsidRDefault="00064638" w:rsidP="00064638">
      <w:pPr>
        <w:rPr>
          <w:lang w:val="en-NZ"/>
        </w:rPr>
      </w:pPr>
    </w:p>
    <w:p w:rsidR="00064638" w:rsidRDefault="00064638" w:rsidP="00064638">
      <w:pPr>
        <w:rPr>
          <w:lang w:val="en-NZ"/>
        </w:rPr>
      </w:pPr>
    </w:p>
    <w:p w:rsidR="00205915" w:rsidRPr="00064638" w:rsidRDefault="00064638" w:rsidP="00064638">
      <w:pPr>
        <w:tabs>
          <w:tab w:val="left" w:pos="5790"/>
        </w:tabs>
        <w:rPr>
          <w:lang w:val="en-NZ"/>
        </w:rPr>
      </w:pPr>
      <w:r>
        <w:rPr>
          <w:lang w:val="en-NZ"/>
        </w:rPr>
        <w:tab/>
      </w:r>
    </w:p>
    <w:sectPr w:rsidR="00205915" w:rsidRPr="00064638" w:rsidSect="00D30D68">
      <w:headerReference w:type="default" r:id="rId10"/>
      <w:footerReference w:type="default" r:id="rId11"/>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6CB" w:rsidRDefault="00AA26CB" w:rsidP="00205915">
      <w:r>
        <w:separator/>
      </w:r>
    </w:p>
  </w:endnote>
  <w:endnote w:type="continuationSeparator" w:id="0">
    <w:p w:rsidR="00AA26CB" w:rsidRDefault="00AA26CB" w:rsidP="002059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895472"/>
      <w:docPartObj>
        <w:docPartGallery w:val="Page Numbers (Bottom of Page)"/>
        <w:docPartUnique/>
      </w:docPartObj>
    </w:sdtPr>
    <w:sdtContent>
      <w:p w:rsidR="00FE507B" w:rsidRDefault="00B4268F">
        <w:pPr>
          <w:pStyle w:val="Footer"/>
        </w:pPr>
        <w:r>
          <w:rPr>
            <w:sz w:val="20"/>
          </w:rPr>
          <w:t>24</w:t>
        </w:r>
        <w:r w:rsidR="00FE507B">
          <w:rPr>
            <w:sz w:val="20"/>
          </w:rPr>
          <w:t>/06</w:t>
        </w:r>
        <w:r w:rsidR="00FE507B" w:rsidRPr="00F6461C">
          <w:rPr>
            <w:sz w:val="20"/>
          </w:rPr>
          <w:t>/</w:t>
        </w:r>
        <w:r w:rsidR="005D25A5">
          <w:rPr>
            <w:sz w:val="20"/>
          </w:rPr>
          <w:t>20</w:t>
        </w:r>
        <w:r w:rsidR="00FE507B" w:rsidRPr="00F6461C">
          <w:rPr>
            <w:sz w:val="20"/>
          </w:rPr>
          <w:t>16</w:t>
        </w:r>
        <w:r w:rsidR="00FE507B">
          <w:rPr>
            <w:sz w:val="20"/>
          </w:rPr>
          <w:tab/>
        </w:r>
        <w:r w:rsidR="00FE507B">
          <w:rPr>
            <w:sz w:val="20"/>
          </w:rPr>
          <w:tab/>
        </w:r>
        <w:r w:rsidR="00FE507B">
          <w:rPr>
            <w:sz w:val="20"/>
          </w:rPr>
          <w:tab/>
        </w:r>
        <w:r w:rsidR="00FE507B">
          <w:rPr>
            <w:sz w:val="20"/>
          </w:rPr>
          <w:tab/>
        </w:r>
        <w:r w:rsidR="00FE507B">
          <w:rPr>
            <w:sz w:val="20"/>
          </w:rPr>
          <w:tab/>
        </w:r>
        <w:r w:rsidR="00FE507B">
          <w:rPr>
            <w:sz w:val="20"/>
          </w:rPr>
          <w:tab/>
        </w:r>
        <w:r w:rsidR="00FE507B">
          <w:rPr>
            <w:sz w:val="20"/>
          </w:rPr>
          <w:tab/>
        </w:r>
        <w:r w:rsidR="00FE507B">
          <w:rPr>
            <w:sz w:val="20"/>
          </w:rPr>
          <w:tab/>
        </w:r>
        <w:r w:rsidR="00FE507B">
          <w:rPr>
            <w:sz w:val="20"/>
          </w:rPr>
          <w:tab/>
        </w:r>
        <w:r w:rsidR="00FE507B">
          <w:rPr>
            <w:sz w:val="20"/>
          </w:rPr>
          <w:tab/>
        </w:r>
        <w:r w:rsidR="00FE507B">
          <w:rPr>
            <w:sz w:val="20"/>
          </w:rPr>
          <w:tab/>
        </w:r>
        <w:r w:rsidR="00FE507B">
          <w:rPr>
            <w:sz w:val="20"/>
          </w:rPr>
          <w:tab/>
        </w:r>
        <w:r w:rsidR="005B6CC1" w:rsidRPr="00291CBF">
          <w:rPr>
            <w:sz w:val="20"/>
          </w:rPr>
          <w:fldChar w:fldCharType="begin"/>
        </w:r>
        <w:r w:rsidR="00FE507B" w:rsidRPr="00291CBF">
          <w:rPr>
            <w:sz w:val="20"/>
          </w:rPr>
          <w:instrText xml:space="preserve"> PAGE   \* MERGEFORMAT </w:instrText>
        </w:r>
        <w:r w:rsidR="005B6CC1" w:rsidRPr="00291CBF">
          <w:rPr>
            <w:sz w:val="20"/>
          </w:rPr>
          <w:fldChar w:fldCharType="separate"/>
        </w:r>
        <w:r>
          <w:rPr>
            <w:noProof/>
            <w:sz w:val="20"/>
          </w:rPr>
          <w:t>2</w:t>
        </w:r>
        <w:r w:rsidR="005B6CC1" w:rsidRPr="00291CBF">
          <w:rPr>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6CB" w:rsidRDefault="00AA26CB" w:rsidP="00205915">
      <w:r>
        <w:separator/>
      </w:r>
    </w:p>
  </w:footnote>
  <w:footnote w:type="continuationSeparator" w:id="0">
    <w:p w:rsidR="00AA26CB" w:rsidRDefault="00AA26CB" w:rsidP="00205915">
      <w:r>
        <w:continuationSeparator/>
      </w:r>
    </w:p>
  </w:footnote>
  <w:footnote w:id="1">
    <w:p w:rsidR="00FE507B" w:rsidRPr="003A55AF" w:rsidRDefault="00FE507B">
      <w:pPr>
        <w:pStyle w:val="FootnoteText"/>
        <w:rPr>
          <w:rFonts w:ascii="Arial" w:hAnsi="Arial" w:cs="Arial"/>
          <w:sz w:val="16"/>
          <w:szCs w:val="16"/>
        </w:rPr>
      </w:pPr>
      <w:r w:rsidRPr="006E53FC">
        <w:rPr>
          <w:rStyle w:val="FootnoteReference"/>
          <w:rFonts w:ascii="Arial" w:hAnsi="Arial" w:cs="Arial"/>
          <w:sz w:val="16"/>
          <w:szCs w:val="16"/>
        </w:rPr>
        <w:footnoteRef/>
      </w:r>
      <w:r w:rsidRPr="003A55AF">
        <w:rPr>
          <w:rFonts w:ascii="Arial" w:hAnsi="Arial" w:cs="Arial"/>
        </w:rPr>
        <w:t xml:space="preserve"> </w:t>
      </w:r>
      <w:r w:rsidR="006E53FC">
        <w:rPr>
          <w:rFonts w:ascii="Arial" w:hAnsi="Arial" w:cs="Arial"/>
        </w:rPr>
        <w:t xml:space="preserve"> </w:t>
      </w:r>
      <w:proofErr w:type="gramStart"/>
      <w:r w:rsidR="00442A98">
        <w:rPr>
          <w:rFonts w:ascii="Arial" w:hAnsi="Arial" w:cs="Arial"/>
          <w:sz w:val="16"/>
          <w:szCs w:val="16"/>
        </w:rPr>
        <w:t>D</w:t>
      </w:r>
      <w:r w:rsidRPr="003A55AF">
        <w:rPr>
          <w:rFonts w:ascii="Arial" w:hAnsi="Arial" w:cs="Arial"/>
          <w:sz w:val="16"/>
          <w:szCs w:val="16"/>
        </w:rPr>
        <w:t>oes not include base funding for other school types, such as special schools.</w:t>
      </w:r>
      <w:proofErr w:type="gramEnd"/>
      <w:r w:rsidR="00442A98">
        <w:rPr>
          <w:rFonts w:ascii="Arial" w:hAnsi="Arial" w:cs="Arial"/>
          <w:sz w:val="16"/>
          <w:szCs w:val="16"/>
        </w:rPr>
        <w:t xml:space="preserve"> </w:t>
      </w:r>
      <w:proofErr w:type="gramStart"/>
      <w:r w:rsidR="00442A98">
        <w:rPr>
          <w:rFonts w:ascii="Arial" w:hAnsi="Arial" w:cs="Arial"/>
          <w:sz w:val="16"/>
          <w:szCs w:val="16"/>
        </w:rPr>
        <w:t>Uses July 2015 roll.</w:t>
      </w:r>
      <w:proofErr w:type="gramEnd"/>
    </w:p>
  </w:footnote>
  <w:footnote w:id="2">
    <w:p w:rsidR="00FE507B" w:rsidRPr="009C3C1B" w:rsidRDefault="00FE507B" w:rsidP="003A55AF">
      <w:pPr>
        <w:pStyle w:val="FootnoteText"/>
        <w:ind w:left="142" w:hanging="142"/>
        <w:rPr>
          <w:rFonts w:ascii="Arial" w:hAnsi="Arial" w:cs="Arial"/>
          <w:sz w:val="16"/>
          <w:szCs w:val="16"/>
        </w:rPr>
      </w:pPr>
      <w:r w:rsidRPr="003A55AF">
        <w:rPr>
          <w:rStyle w:val="FootnoteReference"/>
          <w:rFonts w:ascii="Arial" w:hAnsi="Arial" w:cs="Arial"/>
          <w:sz w:val="16"/>
          <w:szCs w:val="16"/>
        </w:rPr>
        <w:footnoteRef/>
      </w:r>
      <w:r w:rsidRPr="003A55AF">
        <w:rPr>
          <w:rFonts w:ascii="Arial" w:hAnsi="Arial" w:cs="Arial"/>
          <w:sz w:val="16"/>
          <w:szCs w:val="16"/>
        </w:rPr>
        <w:t xml:space="preserve">  Composite schools with a roll of less than 250 that have been established since 2010 are funded un</w:t>
      </w:r>
      <w:r>
        <w:rPr>
          <w:rFonts w:ascii="Arial" w:hAnsi="Arial" w:cs="Arial"/>
          <w:sz w:val="16"/>
          <w:szCs w:val="16"/>
        </w:rPr>
        <w:t xml:space="preserve">der an interim funding formula. </w:t>
      </w:r>
      <w:r w:rsidRPr="003A55AF">
        <w:rPr>
          <w:rFonts w:ascii="Arial" w:hAnsi="Arial" w:cs="Arial"/>
          <w:sz w:val="16"/>
          <w:szCs w:val="16"/>
        </w:rPr>
        <w:t>They receive $56,939</w:t>
      </w:r>
      <w:r>
        <w:rPr>
          <w:rFonts w:ascii="Arial" w:hAnsi="Arial" w:cs="Arial"/>
          <w:sz w:val="16"/>
          <w:szCs w:val="16"/>
        </w:rPr>
        <w:t xml:space="preserve"> </w:t>
      </w:r>
      <w:r w:rsidRPr="003A55AF">
        <w:rPr>
          <w:rFonts w:ascii="Arial" w:hAnsi="Arial" w:cs="Arial"/>
          <w:sz w:val="16"/>
          <w:szCs w:val="16"/>
        </w:rPr>
        <w:t>plus $2,232 per Year 9 to Year 13 student, capped</w:t>
      </w:r>
      <w:r w:rsidRPr="003A55AF">
        <w:rPr>
          <w:rFonts w:ascii="Arial" w:eastAsia="Times New Roman" w:hAnsi="Arial" w:cs="Arial"/>
          <w:sz w:val="16"/>
          <w:szCs w:val="16"/>
          <w:lang w:eastAsia="en-NZ"/>
        </w:rPr>
        <w:t xml:space="preserve"> at $135,061.</w:t>
      </w:r>
    </w:p>
  </w:footnote>
  <w:footnote w:id="3">
    <w:p w:rsidR="00FE507B" w:rsidRDefault="00FE507B">
      <w:pPr>
        <w:pStyle w:val="FootnoteText"/>
      </w:pPr>
      <w:r>
        <w:rPr>
          <w:rStyle w:val="FootnoteReference"/>
        </w:rPr>
        <w:footnoteRef/>
      </w:r>
      <w:r>
        <w:t xml:space="preserve"> The estimated FTTE values have been derived from modelling using March roll data.  They are only indicative of actual allocations for the 2015 school year.   </w:t>
      </w:r>
    </w:p>
  </w:footnote>
  <w:footnote w:id="4">
    <w:p w:rsidR="00FE507B" w:rsidRDefault="00FE507B" w:rsidP="00D40783">
      <w:pPr>
        <w:pStyle w:val="FootnoteText"/>
        <w:ind w:left="142" w:hanging="142"/>
      </w:pPr>
      <w:r>
        <w:rPr>
          <w:rStyle w:val="FootnoteReference"/>
        </w:rPr>
        <w:footnoteRef/>
      </w:r>
      <w:r>
        <w:t xml:space="preserve">  </w:t>
      </w:r>
      <w:proofErr w:type="gramStart"/>
      <w:r>
        <w:rPr>
          <w:rFonts w:ascii="Arial" w:hAnsi="Arial" w:cs="Arial"/>
          <w:sz w:val="16"/>
          <w:szCs w:val="16"/>
        </w:rPr>
        <w:t xml:space="preserve">Introduced </w:t>
      </w:r>
      <w:r w:rsidRPr="00D40783">
        <w:rPr>
          <w:rFonts w:ascii="Arial" w:hAnsi="Arial" w:cs="Arial"/>
          <w:sz w:val="16"/>
          <w:szCs w:val="16"/>
        </w:rPr>
        <w:t>in Budget 2012.</w:t>
      </w:r>
      <w:proofErr w:type="gramEnd"/>
      <w:r w:rsidRPr="00D40783">
        <w:rPr>
          <w:rFonts w:ascii="Arial" w:hAnsi="Arial" w:cs="Arial"/>
          <w:sz w:val="16"/>
          <w:szCs w:val="16"/>
        </w:rPr>
        <w:t xml:space="preserve"> This recognised that composite schools over 750 students operate as distinct schools requiring an appropriate management structure.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07B" w:rsidRPr="006F4809" w:rsidRDefault="00747FAA" w:rsidP="00747FAA">
    <w:pPr>
      <w:pStyle w:val="Header"/>
      <w:rPr>
        <w:b/>
        <w:sz w:val="18"/>
        <w:szCs w:val="18"/>
      </w:rPr>
    </w:pPr>
    <w:r>
      <w:rPr>
        <w:b/>
        <w:sz w:val="18"/>
        <w:szCs w:val="18"/>
      </w:rPr>
      <w:t xml:space="preserve">FOR ADVISORY GROUP </w:t>
    </w:r>
    <w:r w:rsidR="00B4268F">
      <w:rPr>
        <w:b/>
        <w:sz w:val="18"/>
        <w:szCs w:val="18"/>
      </w:rPr>
      <w:t xml:space="preserve">USE ONLY  </w:t>
    </w:r>
    <w:r>
      <w:rPr>
        <w:b/>
        <w:sz w:val="18"/>
        <w:szCs w:val="18"/>
      </w:rPr>
      <w:t xml:space="preserve">                                                             </w:t>
    </w:r>
    <w:r w:rsidR="00FE507B" w:rsidRPr="00B50D28">
      <w:rPr>
        <w:b/>
        <w:sz w:val="18"/>
        <w:szCs w:val="18"/>
      </w:rPr>
      <w:t xml:space="preserve"> </w:t>
    </w:r>
    <w:r w:rsidR="00FE507B">
      <w:rPr>
        <w:b/>
        <w:sz w:val="18"/>
        <w:szCs w:val="18"/>
      </w:rPr>
      <w:t xml:space="preserve">DRAFT </w:t>
    </w:r>
    <w:r w:rsidR="00FE507B" w:rsidRPr="006F4809">
      <w:rPr>
        <w:b/>
        <w:sz w:val="18"/>
        <w:szCs w:val="18"/>
      </w:rPr>
      <w:t>– NOT GOVERNMENT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2275091"/>
    <w:multiLevelType w:val="hybridMultilevel"/>
    <w:tmpl w:val="179401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3016201"/>
    <w:multiLevelType w:val="hybridMultilevel"/>
    <w:tmpl w:val="EB20D7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92A42FD"/>
    <w:multiLevelType w:val="hybridMultilevel"/>
    <w:tmpl w:val="465833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nsid w:val="16E20E27"/>
    <w:multiLevelType w:val="hybridMultilevel"/>
    <w:tmpl w:val="305CC81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ADE41D0"/>
    <w:multiLevelType w:val="hybridMultilevel"/>
    <w:tmpl w:val="30208C3C"/>
    <w:lvl w:ilvl="0" w:tplc="513CE082">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DB47E49"/>
    <w:multiLevelType w:val="hybridMultilevel"/>
    <w:tmpl w:val="61B4AB36"/>
    <w:lvl w:ilvl="0" w:tplc="D0666204">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6E47D36"/>
    <w:multiLevelType w:val="hybridMultilevel"/>
    <w:tmpl w:val="E9CA90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7240674"/>
    <w:multiLevelType w:val="hybridMultilevel"/>
    <w:tmpl w:val="7E6689F2"/>
    <w:lvl w:ilvl="0" w:tplc="14090001">
      <w:start w:val="1"/>
      <w:numFmt w:val="bullet"/>
      <w:lvlText w:val=""/>
      <w:lvlJc w:val="left"/>
      <w:pPr>
        <w:ind w:left="1080" w:hanging="360"/>
      </w:pPr>
      <w:rPr>
        <w:rFonts w:ascii="Symbol" w:hAnsi="Symbol"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nsid w:val="4A084680"/>
    <w:multiLevelType w:val="hybridMultilevel"/>
    <w:tmpl w:val="5C1E48B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55D80A7E"/>
    <w:multiLevelType w:val="hybridMultilevel"/>
    <w:tmpl w:val="A8869E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A3315B9"/>
    <w:multiLevelType w:val="hybridMultilevel"/>
    <w:tmpl w:val="FF340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6">
    <w:nsid w:val="621E51D9"/>
    <w:multiLevelType w:val="hybridMultilevel"/>
    <w:tmpl w:val="721E6A58"/>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69757F14"/>
    <w:multiLevelType w:val="hybridMultilevel"/>
    <w:tmpl w:val="ED2C74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CB476E4"/>
    <w:multiLevelType w:val="hybridMultilevel"/>
    <w:tmpl w:val="CE1A68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6F4C761E"/>
    <w:multiLevelType w:val="hybridMultilevel"/>
    <w:tmpl w:val="5C1E48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78923B51"/>
    <w:multiLevelType w:val="hybridMultilevel"/>
    <w:tmpl w:val="8CFAEC18"/>
    <w:lvl w:ilvl="0" w:tplc="14090001">
      <w:start w:val="1"/>
      <w:numFmt w:val="bullet"/>
      <w:lvlText w:val=""/>
      <w:lvlJc w:val="left"/>
      <w:pPr>
        <w:ind w:left="1080" w:hanging="360"/>
      </w:pPr>
      <w:rPr>
        <w:rFonts w:ascii="Symbol" w:hAnsi="Symbol"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5"/>
  </w:num>
  <w:num w:numId="2">
    <w:abstractNumId w:val="0"/>
  </w:num>
  <w:num w:numId="3">
    <w:abstractNumId w:val="8"/>
  </w:num>
  <w:num w:numId="4">
    <w:abstractNumId w:val="4"/>
  </w:num>
  <w:num w:numId="5">
    <w:abstractNumId w:val="20"/>
  </w:num>
  <w:num w:numId="6">
    <w:abstractNumId w:val="10"/>
  </w:num>
  <w:num w:numId="7">
    <w:abstractNumId w:val="7"/>
  </w:num>
  <w:num w:numId="8">
    <w:abstractNumId w:val="3"/>
  </w:num>
  <w:num w:numId="9">
    <w:abstractNumId w:val="16"/>
  </w:num>
  <w:num w:numId="10">
    <w:abstractNumId w:val="9"/>
  </w:num>
  <w:num w:numId="11">
    <w:abstractNumId w:val="2"/>
  </w:num>
  <w:num w:numId="12">
    <w:abstractNumId w:val="12"/>
  </w:num>
  <w:num w:numId="13">
    <w:abstractNumId w:val="17"/>
  </w:num>
  <w:num w:numId="14">
    <w:abstractNumId w:val="18"/>
  </w:num>
  <w:num w:numId="15">
    <w:abstractNumId w:val="19"/>
  </w:num>
  <w:num w:numId="16">
    <w:abstractNumId w:val="13"/>
  </w:num>
  <w:num w:numId="17">
    <w:abstractNumId w:val="21"/>
  </w:num>
  <w:num w:numId="18">
    <w:abstractNumId w:val="6"/>
  </w:num>
  <w:num w:numId="19">
    <w:abstractNumId w:val="1"/>
  </w:num>
  <w:num w:numId="20">
    <w:abstractNumId w:val="11"/>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0177"/>
  </w:hdrShapeDefaults>
  <w:footnotePr>
    <w:footnote w:id="-1"/>
    <w:footnote w:id="0"/>
  </w:footnotePr>
  <w:endnotePr>
    <w:endnote w:id="-1"/>
    <w:endnote w:id="0"/>
  </w:endnotePr>
  <w:compat/>
  <w:rsids>
    <w:rsidRoot w:val="00DD48B2"/>
    <w:rsid w:val="0000356F"/>
    <w:rsid w:val="00012CA2"/>
    <w:rsid w:val="00027FC5"/>
    <w:rsid w:val="00064638"/>
    <w:rsid w:val="000C0072"/>
    <w:rsid w:val="000C4FE6"/>
    <w:rsid w:val="000E5084"/>
    <w:rsid w:val="000E7BBD"/>
    <w:rsid w:val="00100CC1"/>
    <w:rsid w:val="001326D6"/>
    <w:rsid w:val="0016202D"/>
    <w:rsid w:val="001665E5"/>
    <w:rsid w:val="00166AC8"/>
    <w:rsid w:val="00170F0B"/>
    <w:rsid w:val="00182AED"/>
    <w:rsid w:val="001844ED"/>
    <w:rsid w:val="0018635E"/>
    <w:rsid w:val="001864BC"/>
    <w:rsid w:val="00187488"/>
    <w:rsid w:val="00192182"/>
    <w:rsid w:val="001979B1"/>
    <w:rsid w:val="001A03DD"/>
    <w:rsid w:val="001B006A"/>
    <w:rsid w:val="001C2255"/>
    <w:rsid w:val="001C4737"/>
    <w:rsid w:val="001E3BCC"/>
    <w:rsid w:val="001E4496"/>
    <w:rsid w:val="00205915"/>
    <w:rsid w:val="00215661"/>
    <w:rsid w:val="00224984"/>
    <w:rsid w:val="002339D3"/>
    <w:rsid w:val="0026428C"/>
    <w:rsid w:val="00273C63"/>
    <w:rsid w:val="00291CBF"/>
    <w:rsid w:val="002B3607"/>
    <w:rsid w:val="002C65D1"/>
    <w:rsid w:val="002F4321"/>
    <w:rsid w:val="002F6CFF"/>
    <w:rsid w:val="00306FDC"/>
    <w:rsid w:val="00313743"/>
    <w:rsid w:val="00314B02"/>
    <w:rsid w:val="00314D74"/>
    <w:rsid w:val="00327252"/>
    <w:rsid w:val="00331C22"/>
    <w:rsid w:val="0033617F"/>
    <w:rsid w:val="003372FD"/>
    <w:rsid w:val="00363EE1"/>
    <w:rsid w:val="003712AB"/>
    <w:rsid w:val="00375F06"/>
    <w:rsid w:val="00396533"/>
    <w:rsid w:val="003A55AF"/>
    <w:rsid w:val="003A7189"/>
    <w:rsid w:val="003E3733"/>
    <w:rsid w:val="004226DC"/>
    <w:rsid w:val="00431FB9"/>
    <w:rsid w:val="0043511D"/>
    <w:rsid w:val="00442A98"/>
    <w:rsid w:val="00450A43"/>
    <w:rsid w:val="004565A3"/>
    <w:rsid w:val="004602D1"/>
    <w:rsid w:val="00472D21"/>
    <w:rsid w:val="004A141C"/>
    <w:rsid w:val="004A64C2"/>
    <w:rsid w:val="004C0213"/>
    <w:rsid w:val="004C1BEE"/>
    <w:rsid w:val="004C295D"/>
    <w:rsid w:val="004D481C"/>
    <w:rsid w:val="004E27FF"/>
    <w:rsid w:val="004E47CB"/>
    <w:rsid w:val="0052395C"/>
    <w:rsid w:val="00537922"/>
    <w:rsid w:val="00595630"/>
    <w:rsid w:val="005A4DB5"/>
    <w:rsid w:val="005B6CC1"/>
    <w:rsid w:val="005D095D"/>
    <w:rsid w:val="005D25A5"/>
    <w:rsid w:val="006327F9"/>
    <w:rsid w:val="00660F29"/>
    <w:rsid w:val="00671597"/>
    <w:rsid w:val="006728BC"/>
    <w:rsid w:val="00681163"/>
    <w:rsid w:val="006818C8"/>
    <w:rsid w:val="006A2951"/>
    <w:rsid w:val="006A36C7"/>
    <w:rsid w:val="006A7835"/>
    <w:rsid w:val="006D3448"/>
    <w:rsid w:val="006D6020"/>
    <w:rsid w:val="006E2730"/>
    <w:rsid w:val="006E53FC"/>
    <w:rsid w:val="006E79CA"/>
    <w:rsid w:val="006F4809"/>
    <w:rsid w:val="00702268"/>
    <w:rsid w:val="007102FE"/>
    <w:rsid w:val="00724E3D"/>
    <w:rsid w:val="00735102"/>
    <w:rsid w:val="00747FAA"/>
    <w:rsid w:val="007B2109"/>
    <w:rsid w:val="007B54D9"/>
    <w:rsid w:val="007B5F2C"/>
    <w:rsid w:val="007C4147"/>
    <w:rsid w:val="008059D1"/>
    <w:rsid w:val="00811BAF"/>
    <w:rsid w:val="008346ED"/>
    <w:rsid w:val="008478ED"/>
    <w:rsid w:val="008654AB"/>
    <w:rsid w:val="00877910"/>
    <w:rsid w:val="00881322"/>
    <w:rsid w:val="00881613"/>
    <w:rsid w:val="008820F4"/>
    <w:rsid w:val="008F1B43"/>
    <w:rsid w:val="008F5E83"/>
    <w:rsid w:val="008F75C3"/>
    <w:rsid w:val="00901A37"/>
    <w:rsid w:val="009375D1"/>
    <w:rsid w:val="009416F5"/>
    <w:rsid w:val="009759D1"/>
    <w:rsid w:val="00994E4F"/>
    <w:rsid w:val="009B08FD"/>
    <w:rsid w:val="009C0D06"/>
    <w:rsid w:val="009C30D8"/>
    <w:rsid w:val="009C3C1B"/>
    <w:rsid w:val="009C4E7B"/>
    <w:rsid w:val="009E0790"/>
    <w:rsid w:val="009F327F"/>
    <w:rsid w:val="00A00F06"/>
    <w:rsid w:val="00A06CDA"/>
    <w:rsid w:val="00A6299C"/>
    <w:rsid w:val="00A803D5"/>
    <w:rsid w:val="00A8714D"/>
    <w:rsid w:val="00AA26CB"/>
    <w:rsid w:val="00AB052C"/>
    <w:rsid w:val="00AE006A"/>
    <w:rsid w:val="00AE3327"/>
    <w:rsid w:val="00AF6FFC"/>
    <w:rsid w:val="00B151BE"/>
    <w:rsid w:val="00B24C80"/>
    <w:rsid w:val="00B316BA"/>
    <w:rsid w:val="00B32157"/>
    <w:rsid w:val="00B4268F"/>
    <w:rsid w:val="00B50D28"/>
    <w:rsid w:val="00B651B5"/>
    <w:rsid w:val="00B653FC"/>
    <w:rsid w:val="00B77DE0"/>
    <w:rsid w:val="00BC7931"/>
    <w:rsid w:val="00BD17C5"/>
    <w:rsid w:val="00BD28CE"/>
    <w:rsid w:val="00BE16DD"/>
    <w:rsid w:val="00BF3378"/>
    <w:rsid w:val="00BF7F01"/>
    <w:rsid w:val="00C06626"/>
    <w:rsid w:val="00C15491"/>
    <w:rsid w:val="00C40E44"/>
    <w:rsid w:val="00C518A8"/>
    <w:rsid w:val="00C532A3"/>
    <w:rsid w:val="00C61C85"/>
    <w:rsid w:val="00C6456A"/>
    <w:rsid w:val="00C6676F"/>
    <w:rsid w:val="00C678D2"/>
    <w:rsid w:val="00C67F3F"/>
    <w:rsid w:val="00C7105D"/>
    <w:rsid w:val="00C80335"/>
    <w:rsid w:val="00C8091D"/>
    <w:rsid w:val="00C918A3"/>
    <w:rsid w:val="00C94F2A"/>
    <w:rsid w:val="00CA2612"/>
    <w:rsid w:val="00CB11E3"/>
    <w:rsid w:val="00CC1687"/>
    <w:rsid w:val="00CE62D3"/>
    <w:rsid w:val="00D13CDC"/>
    <w:rsid w:val="00D1462A"/>
    <w:rsid w:val="00D21FFE"/>
    <w:rsid w:val="00D30D68"/>
    <w:rsid w:val="00D40783"/>
    <w:rsid w:val="00D453D2"/>
    <w:rsid w:val="00D659AD"/>
    <w:rsid w:val="00D77145"/>
    <w:rsid w:val="00D851DE"/>
    <w:rsid w:val="00DB20F2"/>
    <w:rsid w:val="00DC3ACC"/>
    <w:rsid w:val="00DD439D"/>
    <w:rsid w:val="00DD48B2"/>
    <w:rsid w:val="00DD6DAA"/>
    <w:rsid w:val="00DE1330"/>
    <w:rsid w:val="00DF2B92"/>
    <w:rsid w:val="00DF488E"/>
    <w:rsid w:val="00E0793F"/>
    <w:rsid w:val="00E254B9"/>
    <w:rsid w:val="00E31C8B"/>
    <w:rsid w:val="00E336D5"/>
    <w:rsid w:val="00E4681E"/>
    <w:rsid w:val="00E46A9B"/>
    <w:rsid w:val="00E503F1"/>
    <w:rsid w:val="00E543B4"/>
    <w:rsid w:val="00E63411"/>
    <w:rsid w:val="00E841B4"/>
    <w:rsid w:val="00E8520C"/>
    <w:rsid w:val="00E93AAB"/>
    <w:rsid w:val="00E97AC1"/>
    <w:rsid w:val="00EC4FE5"/>
    <w:rsid w:val="00ED107F"/>
    <w:rsid w:val="00EE2169"/>
    <w:rsid w:val="00EF0525"/>
    <w:rsid w:val="00EF0B82"/>
    <w:rsid w:val="00EF4994"/>
    <w:rsid w:val="00F03840"/>
    <w:rsid w:val="00F04BCF"/>
    <w:rsid w:val="00F05F17"/>
    <w:rsid w:val="00F203D6"/>
    <w:rsid w:val="00F52691"/>
    <w:rsid w:val="00F6461C"/>
    <w:rsid w:val="00F71D20"/>
    <w:rsid w:val="00FA546F"/>
    <w:rsid w:val="00FA7749"/>
    <w:rsid w:val="00FD0753"/>
    <w:rsid w:val="00FE507B"/>
    <w:rsid w:val="00FE65ED"/>
    <w:rsid w:val="00FE7D2D"/>
    <w:rsid w:val="00FF288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4C295D"/>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4C295D"/>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4C295D"/>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4C295D"/>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295D"/>
    <w:pPr>
      <w:spacing w:before="60" w:after="220" w:line="280" w:lineRule="exact"/>
    </w:pPr>
    <w:rPr>
      <w:rFonts w:ascii="Arial" w:hAnsi="Arial"/>
      <w:szCs w:val="20"/>
      <w:lang w:val="en-NZ"/>
    </w:rPr>
  </w:style>
  <w:style w:type="paragraph" w:styleId="PlainText">
    <w:name w:val="Plain Text"/>
    <w:basedOn w:val="Normal"/>
    <w:rsid w:val="004C295D"/>
    <w:pPr>
      <w:tabs>
        <w:tab w:val="left" w:pos="425"/>
      </w:tabs>
      <w:spacing w:after="240" w:line="320" w:lineRule="exact"/>
    </w:pPr>
    <w:rPr>
      <w:szCs w:val="20"/>
      <w:lang w:val="en-NZ"/>
    </w:rPr>
  </w:style>
  <w:style w:type="paragraph" w:customStyle="1" w:styleId="Bullet">
    <w:name w:val="Bullet"/>
    <w:basedOn w:val="PlainText"/>
    <w:rsid w:val="004C295D"/>
    <w:pPr>
      <w:numPr>
        <w:numId w:val="1"/>
      </w:numPr>
      <w:tabs>
        <w:tab w:val="clear" w:pos="360"/>
      </w:tabs>
      <w:spacing w:after="0"/>
      <w:ind w:left="425" w:hanging="425"/>
    </w:pPr>
  </w:style>
  <w:style w:type="paragraph" w:customStyle="1" w:styleId="Bulletspace">
    <w:name w:val="Bullet+space"/>
    <w:basedOn w:val="Bullet"/>
    <w:rsid w:val="004C295D"/>
    <w:pPr>
      <w:numPr>
        <w:numId w:val="0"/>
      </w:numPr>
      <w:spacing w:after="240"/>
      <w:ind w:left="425" w:hanging="425"/>
    </w:pPr>
  </w:style>
  <w:style w:type="character" w:styleId="CommentReference">
    <w:name w:val="annotation reference"/>
    <w:basedOn w:val="DefaultParagraphFont"/>
    <w:semiHidden/>
    <w:rsid w:val="004C295D"/>
    <w:rPr>
      <w:sz w:val="16"/>
      <w:szCs w:val="16"/>
    </w:rPr>
  </w:style>
  <w:style w:type="character" w:styleId="FollowedHyperlink">
    <w:name w:val="FollowedHyperlink"/>
    <w:basedOn w:val="DefaultParagraphFont"/>
    <w:rsid w:val="004C295D"/>
    <w:rPr>
      <w:color w:val="800080"/>
      <w:u w:val="single"/>
    </w:rPr>
  </w:style>
  <w:style w:type="paragraph" w:styleId="Footer">
    <w:name w:val="footer"/>
    <w:basedOn w:val="Normal"/>
    <w:next w:val="Normal"/>
    <w:link w:val="FooterChar"/>
    <w:uiPriority w:val="99"/>
    <w:rsid w:val="004C295D"/>
    <w:pPr>
      <w:spacing w:line="200" w:lineRule="exact"/>
    </w:pPr>
    <w:rPr>
      <w:rFonts w:ascii="Arial" w:hAnsi="Arial"/>
      <w:sz w:val="15"/>
      <w:szCs w:val="20"/>
      <w:lang w:val="en-NZ"/>
    </w:rPr>
  </w:style>
  <w:style w:type="paragraph" w:styleId="Header">
    <w:name w:val="header"/>
    <w:basedOn w:val="Normal"/>
    <w:rsid w:val="004C295D"/>
    <w:pPr>
      <w:tabs>
        <w:tab w:val="center" w:pos="4536"/>
        <w:tab w:val="right" w:pos="9072"/>
      </w:tabs>
      <w:spacing w:line="240" w:lineRule="exact"/>
    </w:pPr>
    <w:rPr>
      <w:sz w:val="16"/>
      <w:szCs w:val="20"/>
      <w:lang w:val="en-NZ"/>
    </w:rPr>
  </w:style>
  <w:style w:type="character" w:styleId="Hyperlink">
    <w:name w:val="Hyperlink"/>
    <w:basedOn w:val="DefaultParagraphFont"/>
    <w:rsid w:val="004C295D"/>
    <w:rPr>
      <w:color w:val="0000FF"/>
      <w:u w:val="single"/>
    </w:rPr>
  </w:style>
  <w:style w:type="paragraph" w:styleId="ListBullet">
    <w:name w:val="List Bullet"/>
    <w:basedOn w:val="Normal"/>
    <w:autoRedefine/>
    <w:rsid w:val="004C295D"/>
    <w:pPr>
      <w:numPr>
        <w:numId w:val="3"/>
      </w:numPr>
      <w:tabs>
        <w:tab w:val="clear" w:pos="425"/>
      </w:tabs>
      <w:spacing w:line="280" w:lineRule="exact"/>
    </w:pPr>
    <w:rPr>
      <w:szCs w:val="20"/>
      <w:lang w:val="en-NZ"/>
    </w:rPr>
  </w:style>
  <w:style w:type="paragraph" w:customStyle="1" w:styleId="ListPara">
    <w:name w:val="List Para"/>
    <w:basedOn w:val="Normal"/>
    <w:rsid w:val="004C295D"/>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4C295D"/>
    <w:pPr>
      <w:spacing w:before="60" w:after="60" w:line="280" w:lineRule="exact"/>
    </w:pPr>
    <w:rPr>
      <w:rFonts w:ascii="Arial" w:hAnsi="Arial"/>
      <w:szCs w:val="20"/>
      <w:lang w:val="en-NZ"/>
    </w:rPr>
  </w:style>
  <w:style w:type="paragraph" w:customStyle="1" w:styleId="MemoAddresseePrompts">
    <w:name w:val="MemoAddresseePrompts"/>
    <w:basedOn w:val="Normal"/>
    <w:rsid w:val="004C295D"/>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4C295D"/>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4C295D"/>
    <w:pPr>
      <w:numPr>
        <w:numId w:val="6"/>
      </w:numPr>
    </w:pPr>
  </w:style>
  <w:style w:type="paragraph" w:customStyle="1" w:styleId="Space">
    <w:name w:val="Space"/>
    <w:basedOn w:val="Normal"/>
    <w:rsid w:val="004C295D"/>
    <w:pPr>
      <w:spacing w:line="320" w:lineRule="atLeast"/>
    </w:pPr>
    <w:rPr>
      <w:szCs w:val="20"/>
      <w:lang w:val="en-NZ"/>
    </w:rPr>
  </w:style>
  <w:style w:type="paragraph" w:customStyle="1" w:styleId="Subject">
    <w:name w:val="Subject"/>
    <w:basedOn w:val="Normal"/>
    <w:next w:val="PlainText"/>
    <w:rsid w:val="004C295D"/>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customStyle="1" w:styleId="MoENumberedList">
    <w:name w:val="MoE: Numbered List"/>
    <w:basedOn w:val="ListNumber"/>
    <w:link w:val="MoENumberedListChar"/>
    <w:qFormat/>
    <w:rsid w:val="00DD48B2"/>
    <w:pPr>
      <w:spacing w:after="240"/>
    </w:pPr>
    <w:rPr>
      <w:rFonts w:ascii="Arial" w:eastAsiaTheme="minorHAnsi" w:hAnsi="Arial" w:cstheme="minorBidi"/>
      <w:sz w:val="20"/>
      <w:szCs w:val="22"/>
      <w:lang w:val="en-NZ"/>
    </w:rPr>
  </w:style>
  <w:style w:type="character" w:customStyle="1" w:styleId="MoENumberedListChar">
    <w:name w:val="MoE: Numbered List Char"/>
    <w:basedOn w:val="DefaultParagraphFont"/>
    <w:link w:val="MoENumberedList"/>
    <w:rsid w:val="00DD48B2"/>
    <w:rPr>
      <w:rFonts w:ascii="Arial" w:eastAsiaTheme="minorHAnsi" w:hAnsi="Arial" w:cstheme="minorBidi"/>
      <w:szCs w:val="22"/>
      <w:lang w:eastAsia="en-US"/>
    </w:rPr>
  </w:style>
  <w:style w:type="paragraph" w:styleId="ListParagraph">
    <w:name w:val="List Paragraph"/>
    <w:aliases w:val="List Paragraph numbered,List Bullet indent,List Paragraph1,Bullet List,FooterText,numbered,Paragraphe de liste1,Bulletr List Paragraph,列出段落,列出段落1,Listeafsnit1,Parágrafo da Lista1,List Paragraph2,List Paragraph21,Párrafo de lista1,リスト段落1"/>
    <w:basedOn w:val="Normal"/>
    <w:link w:val="ListParagraphChar"/>
    <w:uiPriority w:val="34"/>
    <w:qFormat/>
    <w:rsid w:val="00DD48B2"/>
    <w:pPr>
      <w:ind w:left="720"/>
    </w:pPr>
    <w:rPr>
      <w:rFonts w:ascii="Calibri" w:hAnsi="Calibri"/>
      <w:sz w:val="22"/>
      <w:szCs w:val="22"/>
      <w:lang w:val="en-NZ"/>
    </w:rPr>
  </w:style>
  <w:style w:type="character" w:customStyle="1" w:styleId="ListParagraphChar">
    <w:name w:val="List Paragraph Char"/>
    <w:aliases w:val="List Paragraph numbered Char,List Bullet indent Char,List Paragraph1 Char,Bullet List Char,FooterText Char,numbered Char,Paragraphe de liste1 Char,Bulletr List Paragraph Char,列出段落 Char,列出段落1 Char,Listeafsnit1 Char,リスト段落1 Char"/>
    <w:basedOn w:val="DefaultParagraphFont"/>
    <w:link w:val="ListParagraph"/>
    <w:uiPriority w:val="34"/>
    <w:locked/>
    <w:rsid w:val="00DD48B2"/>
    <w:rPr>
      <w:rFonts w:ascii="Calibri" w:hAnsi="Calibri"/>
      <w:sz w:val="22"/>
      <w:szCs w:val="22"/>
      <w:lang w:eastAsia="en-US"/>
    </w:rPr>
  </w:style>
  <w:style w:type="paragraph" w:styleId="ListNumber">
    <w:name w:val="List Number"/>
    <w:basedOn w:val="Normal"/>
    <w:uiPriority w:val="99"/>
    <w:semiHidden/>
    <w:unhideWhenUsed/>
    <w:rsid w:val="00DD48B2"/>
    <w:pPr>
      <w:ind w:left="720" w:hanging="360"/>
      <w:contextualSpacing/>
    </w:pPr>
  </w:style>
  <w:style w:type="table" w:styleId="TableGrid">
    <w:name w:val="Table Grid"/>
    <w:basedOn w:val="TableNormal"/>
    <w:uiPriority w:val="59"/>
    <w:rsid w:val="00205915"/>
    <w:pPr>
      <w:keepLines/>
      <w:suppressAutoHyphens/>
      <w:spacing w:before="120" w:after="120"/>
      <w:ind w:left="113"/>
    </w:pPr>
    <w:rPr>
      <w:rFonts w:ascii="Arial" w:eastAsiaTheme="minorHAnsi" w:hAnsi="Arial" w:cstheme="minorBidi"/>
      <w:szCs w:val="22"/>
      <w:lang w:eastAsia="en-US"/>
    </w:rPr>
    <w:tblPr>
      <w:tblStyleRowBandSize w:val="1"/>
      <w:tblStyleColBandSize w:val="1"/>
      <w:tblInd w:w="0" w:type="dxa"/>
      <w:tblBorders>
        <w:insideV w:val="single" w:sz="8" w:space="0" w:color="D9D9D9" w:themeColor="background1" w:themeShade="D9"/>
      </w:tblBorders>
      <w:tblCellMar>
        <w:top w:w="0" w:type="dxa"/>
        <w:left w:w="108" w:type="dxa"/>
        <w:bottom w:w="0" w:type="dxa"/>
        <w:right w:w="108" w:type="dxa"/>
      </w:tblCellMar>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semiHidden/>
    <w:rsid w:val="00205915"/>
    <w:rPr>
      <w:rFonts w:asciiTheme="minorHAnsi" w:eastAsiaTheme="minorHAnsi" w:hAnsiTheme="minorHAnsi" w:cstheme="minorBidi"/>
      <w:sz w:val="20"/>
      <w:szCs w:val="20"/>
      <w:lang w:val="en-NZ"/>
    </w:rPr>
  </w:style>
  <w:style w:type="character" w:customStyle="1" w:styleId="FootnoteTextChar">
    <w:name w:val="Footnote Text Char"/>
    <w:basedOn w:val="DefaultParagraphFont"/>
    <w:link w:val="FootnoteText"/>
    <w:uiPriority w:val="99"/>
    <w:semiHidden/>
    <w:rsid w:val="00205915"/>
    <w:rPr>
      <w:rFonts w:asciiTheme="minorHAnsi" w:eastAsiaTheme="minorHAnsi" w:hAnsiTheme="minorHAnsi" w:cstheme="minorBidi"/>
      <w:lang w:eastAsia="en-US"/>
    </w:rPr>
  </w:style>
  <w:style w:type="character" w:styleId="FootnoteReference">
    <w:name w:val="footnote reference"/>
    <w:basedOn w:val="DefaultParagraphFont"/>
    <w:uiPriority w:val="99"/>
    <w:semiHidden/>
    <w:rsid w:val="00205915"/>
    <w:rPr>
      <w:vertAlign w:val="superscript"/>
    </w:rPr>
  </w:style>
  <w:style w:type="paragraph" w:customStyle="1" w:styleId="BlueSubheading3">
    <w:name w:val="Blue Subheading 3"/>
    <w:basedOn w:val="Heading3"/>
    <w:qFormat/>
    <w:rsid w:val="00F04BCF"/>
    <w:pPr>
      <w:keepLines/>
      <w:spacing w:before="200" w:after="120" w:line="240" w:lineRule="atLeast"/>
    </w:pPr>
    <w:rPr>
      <w:rFonts w:eastAsiaTheme="majorEastAsia" w:cstheme="majorBidi"/>
      <w:bCs/>
      <w:i w:val="0"/>
      <w:color w:val="3472AC"/>
      <w:sz w:val="20"/>
      <w:szCs w:val="22"/>
    </w:rPr>
  </w:style>
  <w:style w:type="character" w:customStyle="1" w:styleId="FooterChar">
    <w:name w:val="Footer Char"/>
    <w:basedOn w:val="DefaultParagraphFont"/>
    <w:link w:val="Footer"/>
    <w:uiPriority w:val="99"/>
    <w:rsid w:val="00314B02"/>
    <w:rPr>
      <w:rFonts w:ascii="Arial" w:hAnsi="Arial"/>
      <w:sz w:val="15"/>
      <w:lang w:eastAsia="en-US"/>
    </w:rPr>
  </w:style>
  <w:style w:type="paragraph" w:customStyle="1" w:styleId="MoEHeading4">
    <w:name w:val="MoE: Heading 4"/>
    <w:basedOn w:val="Heading4"/>
    <w:next w:val="Normal"/>
    <w:link w:val="MoEHeading4Char"/>
    <w:qFormat/>
    <w:rsid w:val="00B653FC"/>
    <w:pPr>
      <w:keepLines/>
      <w:spacing w:before="200" w:after="120" w:line="240" w:lineRule="atLeast"/>
    </w:pPr>
    <w:rPr>
      <w:rFonts w:ascii="Arial" w:eastAsiaTheme="majorEastAsia" w:hAnsi="Arial" w:cstheme="majorBidi"/>
      <w:iCs/>
      <w:sz w:val="20"/>
      <w:szCs w:val="22"/>
    </w:rPr>
  </w:style>
  <w:style w:type="character" w:customStyle="1" w:styleId="MoEHeading4Char">
    <w:name w:val="MoE: Heading 4 Char"/>
    <w:basedOn w:val="DefaultParagraphFont"/>
    <w:link w:val="MoEHeading4"/>
    <w:rsid w:val="00B653FC"/>
    <w:rPr>
      <w:rFonts w:ascii="Arial" w:eastAsiaTheme="majorEastAsia" w:hAnsi="Arial" w:cstheme="majorBidi"/>
      <w:b/>
      <w:iCs/>
      <w:szCs w:val="22"/>
      <w:lang w:eastAsia="en-US"/>
    </w:rPr>
  </w:style>
  <w:style w:type="paragraph" w:customStyle="1" w:styleId="BlueHeading1">
    <w:name w:val="Blue Heading 1"/>
    <w:basedOn w:val="Heading1"/>
    <w:qFormat/>
    <w:rsid w:val="00B653FC"/>
    <w:pPr>
      <w:keepLines/>
      <w:spacing w:before="0" w:after="840" w:line="240" w:lineRule="auto"/>
    </w:pPr>
    <w:rPr>
      <w:rFonts w:eastAsiaTheme="majorEastAsia" w:cstheme="majorBidi"/>
      <w:bCs/>
      <w:color w:val="3472AC"/>
      <w:sz w:val="44"/>
      <w:szCs w:val="32"/>
    </w:rPr>
  </w:style>
  <w:style w:type="character" w:customStyle="1" w:styleId="BodyTextChar">
    <w:name w:val="Body Text Char"/>
    <w:basedOn w:val="DefaultParagraphFont"/>
    <w:link w:val="BodyText"/>
    <w:rsid w:val="00D30D68"/>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500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373F8-029F-4749-82D5-F774842E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9</Pages>
  <Words>2822</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McLean</dc:creator>
  <cp:lastModifiedBy>Melissa Idiens</cp:lastModifiedBy>
  <cp:revision>25</cp:revision>
  <cp:lastPrinted>2016-06-20T23:16:00Z</cp:lastPrinted>
  <dcterms:created xsi:type="dcterms:W3CDTF">2016-06-16T06:27:00Z</dcterms:created>
  <dcterms:modified xsi:type="dcterms:W3CDTF">2016-06-24T01:08:00Z</dcterms:modified>
</cp:coreProperties>
</file>